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DB9B" w14:textId="2C438A72" w:rsidR="00D32FD3" w:rsidRPr="00771E87" w:rsidRDefault="00D32FD3" w:rsidP="00096144">
      <w:pPr>
        <w:pStyle w:val="Wtabeli"/>
        <w:rPr>
          <w:rFonts w:cstheme="minorHAnsi"/>
        </w:rPr>
      </w:pPr>
      <w:r w:rsidRPr="00771E87">
        <w:rPr>
          <w:rFonts w:cstheme="minorHAnsi"/>
          <w:noProof/>
        </w:rPr>
        <w:drawing>
          <wp:inline distT="0" distB="0" distL="0" distR="0" wp14:anchorId="15425C1B" wp14:editId="458B3F8B">
            <wp:extent cx="5760720" cy="361950"/>
            <wp:effectExtent l="0" t="0" r="0" b="0"/>
            <wp:docPr id="6"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Krajowy Plan Odbudowy, Rzeczpospolita Polska, Sfinansowane przez Unię Europejską Next Generation EU, PARP-Grupa PF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61950"/>
                    </a:xfrm>
                    <a:prstGeom prst="rect">
                      <a:avLst/>
                    </a:prstGeom>
                    <a:noFill/>
                    <a:ln>
                      <a:noFill/>
                    </a:ln>
                  </pic:spPr>
                </pic:pic>
              </a:graphicData>
            </a:graphic>
          </wp:inline>
        </w:drawing>
      </w:r>
    </w:p>
    <w:p w14:paraId="086CB5E6" w14:textId="77777777" w:rsidR="00D32FD3" w:rsidRPr="00771E87" w:rsidRDefault="00D32FD3" w:rsidP="00096144">
      <w:pPr>
        <w:pStyle w:val="Wtabeli"/>
        <w:rPr>
          <w:rFonts w:cstheme="minorHAnsi"/>
        </w:rPr>
      </w:pPr>
    </w:p>
    <w:p w14:paraId="2586506B" w14:textId="6DCEE142" w:rsidR="00E72802" w:rsidRPr="00771E87" w:rsidRDefault="00E72802" w:rsidP="00096144">
      <w:pPr>
        <w:pStyle w:val="Wtabeli"/>
        <w:rPr>
          <w:rFonts w:cstheme="minorHAnsi"/>
          <w:sz w:val="24"/>
          <w:szCs w:val="24"/>
        </w:rPr>
      </w:pPr>
      <w:r w:rsidRPr="00771E87">
        <w:rPr>
          <w:rFonts w:cstheme="minorHAnsi"/>
          <w:sz w:val="24"/>
          <w:szCs w:val="24"/>
        </w:rPr>
        <w:t xml:space="preserve">Załącznik nr </w:t>
      </w:r>
      <w:r w:rsidR="00351AD6" w:rsidRPr="00771E87">
        <w:rPr>
          <w:rFonts w:cstheme="minorHAnsi"/>
          <w:sz w:val="24"/>
          <w:szCs w:val="24"/>
        </w:rPr>
        <w:t>2</w:t>
      </w:r>
      <w:r w:rsidRPr="00771E87">
        <w:rPr>
          <w:rFonts w:cstheme="minorHAnsi"/>
          <w:sz w:val="24"/>
          <w:szCs w:val="24"/>
        </w:rPr>
        <w:t xml:space="preserve"> do Regulaminu wyboru przedsięwzięć MŚP</w:t>
      </w:r>
    </w:p>
    <w:p w14:paraId="2CC7DACF" w14:textId="47E2499A" w:rsidR="00E72802" w:rsidRPr="00771E87" w:rsidRDefault="00E72802" w:rsidP="00451844">
      <w:pPr>
        <w:keepLines/>
        <w:spacing w:before="2520" w:after="720" w:line="360" w:lineRule="auto"/>
        <w:jc w:val="center"/>
        <w:rPr>
          <w:rFonts w:cstheme="minorHAnsi"/>
          <w:b/>
          <w:bCs/>
          <w:sz w:val="36"/>
          <w:szCs w:val="24"/>
        </w:rPr>
      </w:pPr>
      <w:r w:rsidRPr="00771E87">
        <w:rPr>
          <w:rFonts w:cstheme="minorHAnsi"/>
          <w:b/>
          <w:bCs/>
          <w:sz w:val="36"/>
          <w:szCs w:val="24"/>
        </w:rPr>
        <w:t>PRZEWODNIK KWALIFIKOWALNOŚCI WYDATKÓW</w:t>
      </w:r>
    </w:p>
    <w:p w14:paraId="0A220B0C" w14:textId="131C1A13" w:rsidR="00E72802" w:rsidRPr="00771E87" w:rsidRDefault="00E72802" w:rsidP="00E405B8">
      <w:pPr>
        <w:keepLines/>
        <w:spacing w:before="2520" w:after="0" w:line="360" w:lineRule="auto"/>
        <w:rPr>
          <w:rFonts w:cstheme="minorHAnsi"/>
          <w:b/>
          <w:bCs/>
          <w:sz w:val="24"/>
          <w:szCs w:val="24"/>
        </w:rPr>
      </w:pPr>
      <w:r w:rsidRPr="00771E87">
        <w:rPr>
          <w:rFonts w:cstheme="minorHAnsi"/>
          <w:b/>
          <w:bCs/>
          <w:sz w:val="24"/>
          <w:szCs w:val="24"/>
        </w:rPr>
        <w:t>Inwestycja</w:t>
      </w:r>
      <w:r w:rsidR="00FF3EC0" w:rsidRPr="00771E87">
        <w:rPr>
          <w:rFonts w:cstheme="minorHAnsi"/>
          <w:b/>
          <w:bCs/>
          <w:sz w:val="24"/>
          <w:szCs w:val="24"/>
        </w:rPr>
        <w:t>:</w:t>
      </w:r>
    </w:p>
    <w:p w14:paraId="570E88A6" w14:textId="46D2DDC5" w:rsidR="00E72802" w:rsidRPr="00771E87" w:rsidRDefault="00E72802" w:rsidP="00E405B8">
      <w:pPr>
        <w:keepLines/>
        <w:spacing w:after="120" w:line="360" w:lineRule="auto"/>
        <w:rPr>
          <w:rFonts w:cstheme="minorHAnsi"/>
          <w:bCs/>
          <w:sz w:val="24"/>
          <w:szCs w:val="24"/>
        </w:rPr>
      </w:pPr>
      <w:r w:rsidRPr="00771E87">
        <w:rPr>
          <w:rFonts w:cstheme="minorHAnsi"/>
          <w:bCs/>
          <w:sz w:val="24"/>
          <w:szCs w:val="24"/>
        </w:rPr>
        <w:t xml:space="preserve">1.2.1 Inwestycje dla </w:t>
      </w:r>
      <w:bookmarkStart w:id="0" w:name="_GoBack"/>
      <w:r w:rsidRPr="00771E87">
        <w:rPr>
          <w:rFonts w:cstheme="minorHAnsi"/>
          <w:bCs/>
          <w:sz w:val="24"/>
          <w:szCs w:val="24"/>
        </w:rPr>
        <w:t>przedsiębior</w:t>
      </w:r>
      <w:bookmarkEnd w:id="0"/>
      <w:r w:rsidRPr="00771E87">
        <w:rPr>
          <w:rFonts w:cstheme="minorHAnsi"/>
          <w:bCs/>
          <w:sz w:val="24"/>
          <w:szCs w:val="24"/>
        </w:rPr>
        <w:t>stw w produkty, usługi i kompetencje pracowników oraz kadry związane z dywersyfikacją działalności</w:t>
      </w:r>
    </w:p>
    <w:p w14:paraId="68AC47B0" w14:textId="382118E7" w:rsidR="00E72802" w:rsidRPr="00771E87" w:rsidRDefault="00E72802" w:rsidP="00E405B8">
      <w:pPr>
        <w:keepLines/>
        <w:spacing w:before="120" w:after="0" w:line="360" w:lineRule="auto"/>
        <w:rPr>
          <w:rFonts w:cstheme="minorHAnsi"/>
          <w:b/>
          <w:bCs/>
          <w:iCs/>
          <w:sz w:val="24"/>
          <w:szCs w:val="24"/>
        </w:rPr>
      </w:pPr>
      <w:r w:rsidRPr="00771E87">
        <w:rPr>
          <w:rFonts w:cstheme="minorHAnsi"/>
          <w:b/>
          <w:bCs/>
          <w:iCs/>
          <w:sz w:val="24"/>
          <w:szCs w:val="24"/>
        </w:rPr>
        <w:t>Komponent</w:t>
      </w:r>
      <w:r w:rsidR="00FF3EC0" w:rsidRPr="00771E87">
        <w:rPr>
          <w:rFonts w:cstheme="minorHAnsi"/>
          <w:b/>
          <w:bCs/>
          <w:iCs/>
          <w:sz w:val="24"/>
          <w:szCs w:val="24"/>
        </w:rPr>
        <w:t>:</w:t>
      </w:r>
    </w:p>
    <w:p w14:paraId="70273A1C" w14:textId="5AC22800" w:rsidR="00E72802" w:rsidRPr="00771E87" w:rsidRDefault="00E72802" w:rsidP="00E405B8">
      <w:pPr>
        <w:keepLines/>
        <w:spacing w:before="120" w:after="0" w:line="360" w:lineRule="auto"/>
        <w:rPr>
          <w:rFonts w:cstheme="minorHAnsi"/>
          <w:bCs/>
          <w:iCs/>
          <w:sz w:val="24"/>
          <w:szCs w:val="24"/>
        </w:rPr>
      </w:pPr>
      <w:r w:rsidRPr="00771E87">
        <w:rPr>
          <w:rFonts w:cstheme="minorHAnsi"/>
          <w:bCs/>
          <w:sz w:val="24"/>
          <w:szCs w:val="24"/>
        </w:rPr>
        <w:t>A „Odporność i Konkurencyjność Gospodarki”</w:t>
      </w:r>
    </w:p>
    <w:p w14:paraId="639D3878" w14:textId="77777777" w:rsidR="00E72802" w:rsidRPr="00771E87" w:rsidRDefault="00E72802" w:rsidP="00E405B8">
      <w:pPr>
        <w:keepLines/>
        <w:spacing w:before="120" w:after="0" w:line="360" w:lineRule="auto"/>
        <w:rPr>
          <w:rFonts w:cstheme="minorHAnsi"/>
          <w:b/>
          <w:bCs/>
          <w:iCs/>
          <w:sz w:val="24"/>
          <w:szCs w:val="24"/>
        </w:rPr>
      </w:pPr>
      <w:r w:rsidRPr="00771E87">
        <w:rPr>
          <w:rFonts w:cstheme="minorHAnsi"/>
          <w:b/>
          <w:bCs/>
          <w:iCs/>
          <w:sz w:val="24"/>
          <w:szCs w:val="24"/>
        </w:rPr>
        <w:t>Program:</w:t>
      </w:r>
    </w:p>
    <w:p w14:paraId="3A981B9E" w14:textId="77777777" w:rsidR="00C3305A" w:rsidRPr="00771E87" w:rsidRDefault="49F2E44B" w:rsidP="00C3305A">
      <w:pPr>
        <w:spacing w:after="1560"/>
        <w:rPr>
          <w:rFonts w:cstheme="minorHAnsi"/>
          <w:sz w:val="24"/>
          <w:szCs w:val="24"/>
        </w:rPr>
      </w:pPr>
      <w:r w:rsidRPr="00771E87">
        <w:rPr>
          <w:rFonts w:cstheme="minorHAnsi"/>
          <w:sz w:val="24"/>
          <w:szCs w:val="24"/>
        </w:rPr>
        <w:t>Krajowy Plan Odbudowy i Zwiększania Odporności</w:t>
      </w:r>
    </w:p>
    <w:p w14:paraId="7A442CDA" w14:textId="0BEAF988" w:rsidR="00C3305A" w:rsidRPr="00771E87" w:rsidRDefault="005D2133" w:rsidP="302726D1">
      <w:pPr>
        <w:rPr>
          <w:b/>
          <w:bCs/>
          <w:sz w:val="24"/>
          <w:szCs w:val="24"/>
        </w:rPr>
      </w:pPr>
      <w:r w:rsidRPr="005D2133">
        <w:rPr>
          <w:b/>
          <w:bCs/>
          <w:sz w:val="24"/>
          <w:szCs w:val="24"/>
        </w:rPr>
        <w:t>19 czerwca</w:t>
      </w:r>
      <w:r w:rsidR="7EE140BF" w:rsidRPr="005D2133">
        <w:rPr>
          <w:b/>
          <w:bCs/>
          <w:sz w:val="24"/>
          <w:szCs w:val="24"/>
        </w:rPr>
        <w:t xml:space="preserve"> 2024</w:t>
      </w:r>
      <w:r w:rsidR="7EE140BF" w:rsidRPr="302726D1">
        <w:rPr>
          <w:b/>
          <w:bCs/>
          <w:sz w:val="24"/>
          <w:szCs w:val="24"/>
        </w:rPr>
        <w:t xml:space="preserve"> r.</w:t>
      </w:r>
    </w:p>
    <w:p w14:paraId="32B4C5DE" w14:textId="1D005D9E" w:rsidR="00E72802" w:rsidRPr="00771E87" w:rsidRDefault="00C3305A" w:rsidP="00C3305A">
      <w:pPr>
        <w:rPr>
          <w:rFonts w:cstheme="minorHAnsi"/>
          <w:b/>
          <w:bCs/>
          <w:sz w:val="24"/>
          <w:szCs w:val="24"/>
        </w:rPr>
      </w:pPr>
      <w:r w:rsidRPr="00771E87">
        <w:rPr>
          <w:rFonts w:cstheme="minorHAnsi"/>
          <w:b/>
          <w:bCs/>
          <w:sz w:val="24"/>
          <w:szCs w:val="24"/>
        </w:rPr>
        <w:br w:type="page"/>
      </w:r>
      <w:r w:rsidR="00E72802" w:rsidRPr="00771E87">
        <w:rPr>
          <w:rFonts w:cstheme="minorHAnsi"/>
          <w:b/>
          <w:bCs/>
          <w:sz w:val="24"/>
          <w:szCs w:val="24"/>
        </w:rPr>
        <w:lastRenderedPageBreak/>
        <w:t>SPIS TREŚCI</w:t>
      </w:r>
    </w:p>
    <w:p w14:paraId="4420AB3C" w14:textId="32A304C6" w:rsidR="004446DF" w:rsidRPr="00771E87" w:rsidRDefault="00E72802">
      <w:pPr>
        <w:pStyle w:val="Spistreci1"/>
        <w:rPr>
          <w:rFonts w:asciiTheme="minorHAnsi" w:eastAsiaTheme="minorEastAsia" w:hAnsiTheme="minorHAnsi" w:cstheme="minorBidi"/>
          <w:bCs w:val="0"/>
          <w:sz w:val="22"/>
          <w:lang w:eastAsia="pl-PL"/>
          <w14:ligatures w14:val="none"/>
        </w:rPr>
      </w:pPr>
      <w:r w:rsidRPr="00771E87">
        <w:rPr>
          <w:rFonts w:asciiTheme="minorHAnsi" w:hAnsiTheme="minorHAnsi"/>
          <w:szCs w:val="24"/>
        </w:rPr>
        <w:fldChar w:fldCharType="begin"/>
      </w:r>
      <w:r w:rsidRPr="00771E87">
        <w:rPr>
          <w:rFonts w:asciiTheme="minorHAnsi" w:hAnsiTheme="minorHAnsi"/>
          <w:szCs w:val="24"/>
        </w:rPr>
        <w:instrText xml:space="preserve"> TOC \o "1-3" \h \z \u </w:instrText>
      </w:r>
      <w:r w:rsidRPr="00771E87">
        <w:rPr>
          <w:rFonts w:asciiTheme="minorHAnsi" w:hAnsiTheme="minorHAnsi"/>
          <w:szCs w:val="24"/>
        </w:rPr>
        <w:fldChar w:fldCharType="separate"/>
      </w:r>
      <w:hyperlink w:anchor="_Toc162526805" w:history="1">
        <w:r w:rsidR="004446DF" w:rsidRPr="00771E87">
          <w:rPr>
            <w:rStyle w:val="Hipercze"/>
          </w:rPr>
          <w:t>1. Cel Przewodnika</w:t>
        </w:r>
        <w:r w:rsidR="004446DF" w:rsidRPr="00771E87">
          <w:rPr>
            <w:webHidden/>
          </w:rPr>
          <w:tab/>
        </w:r>
        <w:r w:rsidR="004446DF" w:rsidRPr="00771E87">
          <w:rPr>
            <w:webHidden/>
          </w:rPr>
          <w:fldChar w:fldCharType="begin"/>
        </w:r>
        <w:r w:rsidR="004446DF" w:rsidRPr="00771E87">
          <w:rPr>
            <w:webHidden/>
          </w:rPr>
          <w:instrText xml:space="preserve"> PAGEREF _Toc162526805 \h </w:instrText>
        </w:r>
        <w:r w:rsidR="004446DF" w:rsidRPr="00771E87">
          <w:rPr>
            <w:webHidden/>
          </w:rPr>
        </w:r>
        <w:r w:rsidR="004446DF" w:rsidRPr="00771E87">
          <w:rPr>
            <w:webHidden/>
          </w:rPr>
          <w:fldChar w:fldCharType="separate"/>
        </w:r>
        <w:r w:rsidR="00214714" w:rsidRPr="00771E87">
          <w:rPr>
            <w:webHidden/>
          </w:rPr>
          <w:t>3</w:t>
        </w:r>
        <w:r w:rsidR="004446DF" w:rsidRPr="00771E87">
          <w:rPr>
            <w:webHidden/>
          </w:rPr>
          <w:fldChar w:fldCharType="end"/>
        </w:r>
      </w:hyperlink>
    </w:p>
    <w:p w14:paraId="3455F31E" w14:textId="1E87C59A"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06" w:history="1">
        <w:r w:rsidR="004446DF" w:rsidRPr="00771E87">
          <w:rPr>
            <w:rStyle w:val="Hipercze"/>
          </w:rPr>
          <w:t>2. Ogólne zasady kwalifikowalności wydatków w przedsięwzięciach MŚP</w:t>
        </w:r>
        <w:r w:rsidR="004446DF" w:rsidRPr="00771E87">
          <w:rPr>
            <w:webHidden/>
          </w:rPr>
          <w:tab/>
        </w:r>
        <w:r w:rsidR="004446DF" w:rsidRPr="00771E87">
          <w:rPr>
            <w:webHidden/>
          </w:rPr>
          <w:fldChar w:fldCharType="begin"/>
        </w:r>
        <w:r w:rsidR="004446DF" w:rsidRPr="00771E87">
          <w:rPr>
            <w:webHidden/>
          </w:rPr>
          <w:instrText xml:space="preserve"> PAGEREF _Toc162526806 \h </w:instrText>
        </w:r>
        <w:r w:rsidR="004446DF" w:rsidRPr="00771E87">
          <w:rPr>
            <w:webHidden/>
          </w:rPr>
        </w:r>
        <w:r w:rsidR="004446DF" w:rsidRPr="00771E87">
          <w:rPr>
            <w:webHidden/>
          </w:rPr>
          <w:fldChar w:fldCharType="separate"/>
        </w:r>
        <w:r w:rsidR="00214714" w:rsidRPr="00771E87">
          <w:rPr>
            <w:webHidden/>
          </w:rPr>
          <w:t>4</w:t>
        </w:r>
        <w:r w:rsidR="004446DF" w:rsidRPr="00771E87">
          <w:rPr>
            <w:webHidden/>
          </w:rPr>
          <w:fldChar w:fldCharType="end"/>
        </w:r>
      </w:hyperlink>
    </w:p>
    <w:p w14:paraId="605C82F7" w14:textId="77D62BB6"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07" w:history="1">
        <w:r w:rsidR="004446DF" w:rsidRPr="00771E87">
          <w:rPr>
            <w:rStyle w:val="Hipercze"/>
          </w:rPr>
          <w:t>2.1 Okres kwalifikowalności wydatków MŚP</w:t>
        </w:r>
        <w:r w:rsidR="004446DF" w:rsidRPr="00771E87">
          <w:rPr>
            <w:webHidden/>
          </w:rPr>
          <w:tab/>
        </w:r>
        <w:r w:rsidR="004446DF" w:rsidRPr="00771E87">
          <w:rPr>
            <w:webHidden/>
          </w:rPr>
          <w:fldChar w:fldCharType="begin"/>
        </w:r>
        <w:r w:rsidR="004446DF" w:rsidRPr="00771E87">
          <w:rPr>
            <w:webHidden/>
          </w:rPr>
          <w:instrText xml:space="preserve"> PAGEREF _Toc162526807 \h </w:instrText>
        </w:r>
        <w:r w:rsidR="004446DF" w:rsidRPr="00771E87">
          <w:rPr>
            <w:webHidden/>
          </w:rPr>
        </w:r>
        <w:r w:rsidR="004446DF" w:rsidRPr="00771E87">
          <w:rPr>
            <w:webHidden/>
          </w:rPr>
          <w:fldChar w:fldCharType="separate"/>
        </w:r>
        <w:r w:rsidR="00214714" w:rsidRPr="00771E87">
          <w:rPr>
            <w:webHidden/>
          </w:rPr>
          <w:t>4</w:t>
        </w:r>
        <w:r w:rsidR="004446DF" w:rsidRPr="00771E87">
          <w:rPr>
            <w:webHidden/>
          </w:rPr>
          <w:fldChar w:fldCharType="end"/>
        </w:r>
      </w:hyperlink>
    </w:p>
    <w:p w14:paraId="581918FE" w14:textId="3D334A78"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08" w:history="1">
        <w:r w:rsidR="004446DF" w:rsidRPr="00771E87">
          <w:rPr>
            <w:rStyle w:val="Hipercze"/>
          </w:rPr>
          <w:t>2.2 Limit wsparcia przedsięwzięć MŚP.</w:t>
        </w:r>
        <w:r w:rsidR="004446DF" w:rsidRPr="00771E87">
          <w:rPr>
            <w:webHidden/>
          </w:rPr>
          <w:tab/>
        </w:r>
        <w:r w:rsidR="004446DF" w:rsidRPr="00771E87">
          <w:rPr>
            <w:webHidden/>
          </w:rPr>
          <w:fldChar w:fldCharType="begin"/>
        </w:r>
        <w:r w:rsidR="004446DF" w:rsidRPr="00771E87">
          <w:rPr>
            <w:webHidden/>
          </w:rPr>
          <w:instrText xml:space="preserve"> PAGEREF _Toc162526808 \h </w:instrText>
        </w:r>
        <w:r w:rsidR="004446DF" w:rsidRPr="00771E87">
          <w:rPr>
            <w:webHidden/>
          </w:rPr>
        </w:r>
        <w:r w:rsidR="004446DF" w:rsidRPr="00771E87">
          <w:rPr>
            <w:webHidden/>
          </w:rPr>
          <w:fldChar w:fldCharType="separate"/>
        </w:r>
        <w:r w:rsidR="00214714" w:rsidRPr="00771E87">
          <w:rPr>
            <w:webHidden/>
          </w:rPr>
          <w:t>5</w:t>
        </w:r>
        <w:r w:rsidR="004446DF" w:rsidRPr="00771E87">
          <w:rPr>
            <w:webHidden/>
          </w:rPr>
          <w:fldChar w:fldCharType="end"/>
        </w:r>
      </w:hyperlink>
    </w:p>
    <w:p w14:paraId="55E0AB41" w14:textId="26B11336"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09" w:history="1">
        <w:r w:rsidR="004446DF" w:rsidRPr="00771E87">
          <w:rPr>
            <w:rStyle w:val="Hipercze"/>
          </w:rPr>
          <w:t>2.3 Wkład własny w ramach przedsięwzięcia MŚP</w:t>
        </w:r>
        <w:r w:rsidR="004446DF" w:rsidRPr="00771E87">
          <w:rPr>
            <w:webHidden/>
          </w:rPr>
          <w:tab/>
        </w:r>
        <w:r w:rsidR="004446DF" w:rsidRPr="00771E87">
          <w:rPr>
            <w:webHidden/>
          </w:rPr>
          <w:fldChar w:fldCharType="begin"/>
        </w:r>
        <w:r w:rsidR="004446DF" w:rsidRPr="00771E87">
          <w:rPr>
            <w:webHidden/>
          </w:rPr>
          <w:instrText xml:space="preserve"> PAGEREF _Toc162526809 \h </w:instrText>
        </w:r>
        <w:r w:rsidR="004446DF" w:rsidRPr="00771E87">
          <w:rPr>
            <w:webHidden/>
          </w:rPr>
        </w:r>
        <w:r w:rsidR="004446DF" w:rsidRPr="00771E87">
          <w:rPr>
            <w:webHidden/>
          </w:rPr>
          <w:fldChar w:fldCharType="separate"/>
        </w:r>
        <w:r w:rsidR="00214714" w:rsidRPr="00771E87">
          <w:rPr>
            <w:webHidden/>
          </w:rPr>
          <w:t>5</w:t>
        </w:r>
        <w:r w:rsidR="004446DF" w:rsidRPr="00771E87">
          <w:rPr>
            <w:webHidden/>
          </w:rPr>
          <w:fldChar w:fldCharType="end"/>
        </w:r>
      </w:hyperlink>
    </w:p>
    <w:p w14:paraId="2716B46E" w14:textId="51368FBC"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0" w:history="1">
        <w:r w:rsidR="004446DF" w:rsidRPr="00771E87">
          <w:rPr>
            <w:rStyle w:val="Hipercze"/>
          </w:rPr>
          <w:t>2.4 Zakaz podwójnego finansowania wydatków MŚP</w:t>
        </w:r>
        <w:r w:rsidR="004446DF" w:rsidRPr="00771E87">
          <w:rPr>
            <w:webHidden/>
          </w:rPr>
          <w:tab/>
        </w:r>
        <w:r w:rsidR="004446DF" w:rsidRPr="00771E87">
          <w:rPr>
            <w:webHidden/>
          </w:rPr>
          <w:fldChar w:fldCharType="begin"/>
        </w:r>
        <w:r w:rsidR="004446DF" w:rsidRPr="00771E87">
          <w:rPr>
            <w:webHidden/>
          </w:rPr>
          <w:instrText xml:space="preserve"> PAGEREF _Toc162526810 \h </w:instrText>
        </w:r>
        <w:r w:rsidR="004446DF" w:rsidRPr="00771E87">
          <w:rPr>
            <w:webHidden/>
          </w:rPr>
        </w:r>
        <w:r w:rsidR="004446DF" w:rsidRPr="00771E87">
          <w:rPr>
            <w:webHidden/>
          </w:rPr>
          <w:fldChar w:fldCharType="separate"/>
        </w:r>
        <w:r w:rsidR="00214714" w:rsidRPr="00771E87">
          <w:rPr>
            <w:webHidden/>
          </w:rPr>
          <w:t>6</w:t>
        </w:r>
        <w:r w:rsidR="004446DF" w:rsidRPr="00771E87">
          <w:rPr>
            <w:webHidden/>
          </w:rPr>
          <w:fldChar w:fldCharType="end"/>
        </w:r>
      </w:hyperlink>
    </w:p>
    <w:p w14:paraId="2D14B54E" w14:textId="4CFE7D1C"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1" w:history="1">
        <w:r w:rsidR="004446DF" w:rsidRPr="00771E87">
          <w:rPr>
            <w:rStyle w:val="Hipercze"/>
          </w:rPr>
          <w:t>2.5 Sposób traktowania VAT</w:t>
        </w:r>
        <w:r w:rsidR="004446DF" w:rsidRPr="00771E87">
          <w:rPr>
            <w:webHidden/>
          </w:rPr>
          <w:tab/>
        </w:r>
        <w:r w:rsidR="004446DF" w:rsidRPr="00771E87">
          <w:rPr>
            <w:webHidden/>
          </w:rPr>
          <w:fldChar w:fldCharType="begin"/>
        </w:r>
        <w:r w:rsidR="004446DF" w:rsidRPr="00771E87">
          <w:rPr>
            <w:webHidden/>
          </w:rPr>
          <w:instrText xml:space="preserve"> PAGEREF _Toc162526811 \h </w:instrText>
        </w:r>
        <w:r w:rsidR="004446DF" w:rsidRPr="00771E87">
          <w:rPr>
            <w:webHidden/>
          </w:rPr>
        </w:r>
        <w:r w:rsidR="004446DF" w:rsidRPr="00771E87">
          <w:rPr>
            <w:webHidden/>
          </w:rPr>
          <w:fldChar w:fldCharType="separate"/>
        </w:r>
        <w:r w:rsidR="00214714" w:rsidRPr="00771E87">
          <w:rPr>
            <w:webHidden/>
          </w:rPr>
          <w:t>7</w:t>
        </w:r>
        <w:r w:rsidR="004446DF" w:rsidRPr="00771E87">
          <w:rPr>
            <w:webHidden/>
          </w:rPr>
          <w:fldChar w:fldCharType="end"/>
        </w:r>
      </w:hyperlink>
    </w:p>
    <w:p w14:paraId="0E7C46E8" w14:textId="11C67E44"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2" w:history="1">
        <w:r w:rsidR="004446DF" w:rsidRPr="00771E87">
          <w:rPr>
            <w:rStyle w:val="Hipercze"/>
          </w:rPr>
          <w:t>2.6. Ogólne warunki kwalifikowalności wydatków MŚP</w:t>
        </w:r>
        <w:r w:rsidR="004446DF" w:rsidRPr="00771E87">
          <w:rPr>
            <w:webHidden/>
          </w:rPr>
          <w:tab/>
        </w:r>
        <w:r w:rsidR="004446DF" w:rsidRPr="00771E87">
          <w:rPr>
            <w:webHidden/>
          </w:rPr>
          <w:fldChar w:fldCharType="begin"/>
        </w:r>
        <w:r w:rsidR="004446DF" w:rsidRPr="00771E87">
          <w:rPr>
            <w:webHidden/>
          </w:rPr>
          <w:instrText xml:space="preserve"> PAGEREF _Toc162526812 \h </w:instrText>
        </w:r>
        <w:r w:rsidR="004446DF" w:rsidRPr="00771E87">
          <w:rPr>
            <w:webHidden/>
          </w:rPr>
        </w:r>
        <w:r w:rsidR="004446DF" w:rsidRPr="00771E87">
          <w:rPr>
            <w:webHidden/>
          </w:rPr>
          <w:fldChar w:fldCharType="separate"/>
        </w:r>
        <w:r w:rsidR="00214714" w:rsidRPr="00771E87">
          <w:rPr>
            <w:webHidden/>
          </w:rPr>
          <w:t>7</w:t>
        </w:r>
        <w:r w:rsidR="004446DF" w:rsidRPr="00771E87">
          <w:rPr>
            <w:webHidden/>
          </w:rPr>
          <w:fldChar w:fldCharType="end"/>
        </w:r>
      </w:hyperlink>
    </w:p>
    <w:p w14:paraId="50B8F664" w14:textId="58B7086B"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3" w:history="1">
        <w:r w:rsidR="004446DF" w:rsidRPr="00771E87">
          <w:rPr>
            <w:rStyle w:val="Hipercze"/>
          </w:rPr>
          <w:t>2.7. Zasada faktycznego poniesienia wydatku</w:t>
        </w:r>
        <w:r w:rsidR="004446DF" w:rsidRPr="00771E87">
          <w:rPr>
            <w:webHidden/>
          </w:rPr>
          <w:tab/>
        </w:r>
        <w:r w:rsidR="004446DF" w:rsidRPr="00771E87">
          <w:rPr>
            <w:webHidden/>
          </w:rPr>
          <w:fldChar w:fldCharType="begin"/>
        </w:r>
        <w:r w:rsidR="004446DF" w:rsidRPr="00771E87">
          <w:rPr>
            <w:webHidden/>
          </w:rPr>
          <w:instrText xml:space="preserve"> PAGEREF _Toc162526813 \h </w:instrText>
        </w:r>
        <w:r w:rsidR="004446DF" w:rsidRPr="00771E87">
          <w:rPr>
            <w:webHidden/>
          </w:rPr>
        </w:r>
        <w:r w:rsidR="004446DF" w:rsidRPr="00771E87">
          <w:rPr>
            <w:webHidden/>
          </w:rPr>
          <w:fldChar w:fldCharType="separate"/>
        </w:r>
        <w:r w:rsidR="00214714" w:rsidRPr="00771E87">
          <w:rPr>
            <w:webHidden/>
          </w:rPr>
          <w:t>8</w:t>
        </w:r>
        <w:r w:rsidR="004446DF" w:rsidRPr="00771E87">
          <w:rPr>
            <w:webHidden/>
          </w:rPr>
          <w:fldChar w:fldCharType="end"/>
        </w:r>
      </w:hyperlink>
    </w:p>
    <w:p w14:paraId="62D13870" w14:textId="0095A55C"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4" w:history="1">
        <w:r w:rsidR="004446DF" w:rsidRPr="00771E87">
          <w:rPr>
            <w:rStyle w:val="Hipercze"/>
          </w:rPr>
          <w:t>2.8 Zasady dotyczące zamówień (zakupów) MŚP</w:t>
        </w:r>
        <w:r w:rsidR="004446DF" w:rsidRPr="00771E87">
          <w:rPr>
            <w:webHidden/>
          </w:rPr>
          <w:tab/>
        </w:r>
        <w:r w:rsidR="004446DF" w:rsidRPr="00771E87">
          <w:rPr>
            <w:webHidden/>
          </w:rPr>
          <w:fldChar w:fldCharType="begin"/>
        </w:r>
        <w:r w:rsidR="004446DF" w:rsidRPr="00771E87">
          <w:rPr>
            <w:webHidden/>
          </w:rPr>
          <w:instrText xml:space="preserve"> PAGEREF _Toc162526814 \h </w:instrText>
        </w:r>
        <w:r w:rsidR="004446DF" w:rsidRPr="00771E87">
          <w:rPr>
            <w:webHidden/>
          </w:rPr>
        </w:r>
        <w:r w:rsidR="004446DF" w:rsidRPr="00771E87">
          <w:rPr>
            <w:webHidden/>
          </w:rPr>
          <w:fldChar w:fldCharType="separate"/>
        </w:r>
        <w:r w:rsidR="00214714" w:rsidRPr="00771E87">
          <w:rPr>
            <w:webHidden/>
          </w:rPr>
          <w:t>9</w:t>
        </w:r>
        <w:r w:rsidR="004446DF" w:rsidRPr="00771E87">
          <w:rPr>
            <w:webHidden/>
          </w:rPr>
          <w:fldChar w:fldCharType="end"/>
        </w:r>
      </w:hyperlink>
    </w:p>
    <w:p w14:paraId="0F6EFFED" w14:textId="6D9CECB0"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5" w:history="1">
        <w:r w:rsidR="004446DF" w:rsidRPr="00771E87">
          <w:rPr>
            <w:rStyle w:val="Hipercze"/>
          </w:rPr>
          <w:t>2.8.1 Zamówienia publiczne</w:t>
        </w:r>
        <w:r w:rsidR="004446DF" w:rsidRPr="00771E87">
          <w:rPr>
            <w:webHidden/>
          </w:rPr>
          <w:tab/>
        </w:r>
        <w:r w:rsidR="004446DF" w:rsidRPr="00771E87">
          <w:rPr>
            <w:webHidden/>
          </w:rPr>
          <w:fldChar w:fldCharType="begin"/>
        </w:r>
        <w:r w:rsidR="004446DF" w:rsidRPr="00771E87">
          <w:rPr>
            <w:webHidden/>
          </w:rPr>
          <w:instrText xml:space="preserve"> PAGEREF _Toc162526815 \h </w:instrText>
        </w:r>
        <w:r w:rsidR="004446DF" w:rsidRPr="00771E87">
          <w:rPr>
            <w:webHidden/>
          </w:rPr>
        </w:r>
        <w:r w:rsidR="004446DF" w:rsidRPr="00771E87">
          <w:rPr>
            <w:webHidden/>
          </w:rPr>
          <w:fldChar w:fldCharType="separate"/>
        </w:r>
        <w:r w:rsidR="00214714" w:rsidRPr="00771E87">
          <w:rPr>
            <w:webHidden/>
          </w:rPr>
          <w:t>10</w:t>
        </w:r>
        <w:r w:rsidR="004446DF" w:rsidRPr="00771E87">
          <w:rPr>
            <w:webHidden/>
          </w:rPr>
          <w:fldChar w:fldCharType="end"/>
        </w:r>
      </w:hyperlink>
    </w:p>
    <w:p w14:paraId="305CD568" w14:textId="4E8EF4AF"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6" w:history="1">
        <w:r w:rsidR="004446DF" w:rsidRPr="00771E87">
          <w:rPr>
            <w:rStyle w:val="Hipercze"/>
          </w:rPr>
          <w:t>2.8.2 Zamówienia (zakupy) o wartości do 50 tys. PLN netto</w:t>
        </w:r>
        <w:r w:rsidR="004446DF" w:rsidRPr="00771E87">
          <w:rPr>
            <w:webHidden/>
          </w:rPr>
          <w:tab/>
        </w:r>
        <w:r w:rsidR="004446DF" w:rsidRPr="00771E87">
          <w:rPr>
            <w:webHidden/>
          </w:rPr>
          <w:fldChar w:fldCharType="begin"/>
        </w:r>
        <w:r w:rsidR="004446DF" w:rsidRPr="00771E87">
          <w:rPr>
            <w:webHidden/>
          </w:rPr>
          <w:instrText xml:space="preserve"> PAGEREF _Toc162526816 \h </w:instrText>
        </w:r>
        <w:r w:rsidR="004446DF" w:rsidRPr="00771E87">
          <w:rPr>
            <w:webHidden/>
          </w:rPr>
        </w:r>
        <w:r w:rsidR="004446DF" w:rsidRPr="00771E87">
          <w:rPr>
            <w:webHidden/>
          </w:rPr>
          <w:fldChar w:fldCharType="separate"/>
        </w:r>
        <w:r w:rsidR="00214714" w:rsidRPr="00771E87">
          <w:rPr>
            <w:webHidden/>
          </w:rPr>
          <w:t>11</w:t>
        </w:r>
        <w:r w:rsidR="004446DF" w:rsidRPr="00771E87">
          <w:rPr>
            <w:webHidden/>
          </w:rPr>
          <w:fldChar w:fldCharType="end"/>
        </w:r>
      </w:hyperlink>
    </w:p>
    <w:p w14:paraId="7473B3FF" w14:textId="09A1CDC3"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7" w:history="1">
        <w:r w:rsidR="004446DF" w:rsidRPr="00771E87">
          <w:rPr>
            <w:rStyle w:val="Hipercze"/>
          </w:rPr>
          <w:t>2.8.3 Zasada konkurencyjności dla zamówień powyżej 50 tys. PLN netto</w:t>
        </w:r>
        <w:r w:rsidR="004446DF" w:rsidRPr="00771E87">
          <w:rPr>
            <w:webHidden/>
          </w:rPr>
          <w:tab/>
        </w:r>
        <w:r w:rsidR="004446DF" w:rsidRPr="00771E87">
          <w:rPr>
            <w:webHidden/>
          </w:rPr>
          <w:fldChar w:fldCharType="begin"/>
        </w:r>
        <w:r w:rsidR="004446DF" w:rsidRPr="00771E87">
          <w:rPr>
            <w:webHidden/>
          </w:rPr>
          <w:instrText xml:space="preserve"> PAGEREF _Toc162526817 \h </w:instrText>
        </w:r>
        <w:r w:rsidR="004446DF" w:rsidRPr="00771E87">
          <w:rPr>
            <w:webHidden/>
          </w:rPr>
        </w:r>
        <w:r w:rsidR="004446DF" w:rsidRPr="00771E87">
          <w:rPr>
            <w:webHidden/>
          </w:rPr>
          <w:fldChar w:fldCharType="separate"/>
        </w:r>
        <w:r w:rsidR="00214714" w:rsidRPr="00771E87">
          <w:rPr>
            <w:webHidden/>
          </w:rPr>
          <w:t>11</w:t>
        </w:r>
        <w:r w:rsidR="004446DF" w:rsidRPr="00771E87">
          <w:rPr>
            <w:webHidden/>
          </w:rPr>
          <w:fldChar w:fldCharType="end"/>
        </w:r>
      </w:hyperlink>
    </w:p>
    <w:p w14:paraId="15CD26D7" w14:textId="28A212E7"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8" w:history="1">
        <w:r w:rsidR="004446DF" w:rsidRPr="00771E87">
          <w:rPr>
            <w:rStyle w:val="Hipercze"/>
          </w:rPr>
          <w:t>2.9 Zasada “nie czyń znaczącej szkody”.</w:t>
        </w:r>
        <w:r w:rsidR="004446DF" w:rsidRPr="00771E87">
          <w:rPr>
            <w:webHidden/>
          </w:rPr>
          <w:tab/>
        </w:r>
        <w:r w:rsidR="004446DF" w:rsidRPr="00771E87">
          <w:rPr>
            <w:webHidden/>
          </w:rPr>
          <w:fldChar w:fldCharType="begin"/>
        </w:r>
        <w:r w:rsidR="004446DF" w:rsidRPr="00771E87">
          <w:rPr>
            <w:webHidden/>
          </w:rPr>
          <w:instrText xml:space="preserve"> PAGEREF _Toc162526818 \h </w:instrText>
        </w:r>
        <w:r w:rsidR="004446DF" w:rsidRPr="00771E87">
          <w:rPr>
            <w:webHidden/>
          </w:rPr>
        </w:r>
        <w:r w:rsidR="004446DF" w:rsidRPr="00771E87">
          <w:rPr>
            <w:webHidden/>
          </w:rPr>
          <w:fldChar w:fldCharType="separate"/>
        </w:r>
        <w:r w:rsidR="00214714" w:rsidRPr="00771E87">
          <w:rPr>
            <w:webHidden/>
          </w:rPr>
          <w:t>14</w:t>
        </w:r>
        <w:r w:rsidR="004446DF" w:rsidRPr="00771E87">
          <w:rPr>
            <w:webHidden/>
          </w:rPr>
          <w:fldChar w:fldCharType="end"/>
        </w:r>
      </w:hyperlink>
    </w:p>
    <w:p w14:paraId="7A57BA7A" w14:textId="01717A1D"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19" w:history="1">
        <w:r w:rsidR="004446DF" w:rsidRPr="00771E87">
          <w:rPr>
            <w:rStyle w:val="Hipercze"/>
          </w:rPr>
          <w:t>2.10 Konflikt interesów.</w:t>
        </w:r>
        <w:r w:rsidR="004446DF" w:rsidRPr="00771E87">
          <w:rPr>
            <w:webHidden/>
          </w:rPr>
          <w:tab/>
        </w:r>
        <w:r w:rsidR="004446DF" w:rsidRPr="00771E87">
          <w:rPr>
            <w:webHidden/>
          </w:rPr>
          <w:fldChar w:fldCharType="begin"/>
        </w:r>
        <w:r w:rsidR="004446DF" w:rsidRPr="00771E87">
          <w:rPr>
            <w:webHidden/>
          </w:rPr>
          <w:instrText xml:space="preserve"> PAGEREF _Toc162526819 \h </w:instrText>
        </w:r>
        <w:r w:rsidR="004446DF" w:rsidRPr="00771E87">
          <w:rPr>
            <w:webHidden/>
          </w:rPr>
        </w:r>
        <w:r w:rsidR="004446DF" w:rsidRPr="00771E87">
          <w:rPr>
            <w:webHidden/>
          </w:rPr>
          <w:fldChar w:fldCharType="separate"/>
        </w:r>
        <w:r w:rsidR="00214714" w:rsidRPr="00771E87">
          <w:rPr>
            <w:webHidden/>
          </w:rPr>
          <w:t>15</w:t>
        </w:r>
        <w:r w:rsidR="004446DF" w:rsidRPr="00771E87">
          <w:rPr>
            <w:webHidden/>
          </w:rPr>
          <w:fldChar w:fldCharType="end"/>
        </w:r>
      </w:hyperlink>
    </w:p>
    <w:p w14:paraId="1299D940" w14:textId="65993D20"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0" w:history="1">
        <w:r w:rsidR="004446DF" w:rsidRPr="00771E87">
          <w:rPr>
            <w:rStyle w:val="Hipercze"/>
          </w:rPr>
          <w:t>3. Wydatki kwalifikowalne wg komponentów</w:t>
        </w:r>
        <w:r w:rsidR="004446DF" w:rsidRPr="00771E87">
          <w:rPr>
            <w:webHidden/>
          </w:rPr>
          <w:tab/>
        </w:r>
        <w:r w:rsidR="004446DF" w:rsidRPr="00771E87">
          <w:rPr>
            <w:webHidden/>
          </w:rPr>
          <w:fldChar w:fldCharType="begin"/>
        </w:r>
        <w:r w:rsidR="004446DF" w:rsidRPr="00771E87">
          <w:rPr>
            <w:webHidden/>
          </w:rPr>
          <w:instrText xml:space="preserve"> PAGEREF _Toc162526820 \h </w:instrText>
        </w:r>
        <w:r w:rsidR="004446DF" w:rsidRPr="00771E87">
          <w:rPr>
            <w:webHidden/>
          </w:rPr>
        </w:r>
        <w:r w:rsidR="004446DF" w:rsidRPr="00771E87">
          <w:rPr>
            <w:webHidden/>
          </w:rPr>
          <w:fldChar w:fldCharType="separate"/>
        </w:r>
        <w:r w:rsidR="00214714" w:rsidRPr="00771E87">
          <w:rPr>
            <w:webHidden/>
          </w:rPr>
          <w:t>16</w:t>
        </w:r>
        <w:r w:rsidR="004446DF" w:rsidRPr="00771E87">
          <w:rPr>
            <w:webHidden/>
          </w:rPr>
          <w:fldChar w:fldCharType="end"/>
        </w:r>
      </w:hyperlink>
    </w:p>
    <w:p w14:paraId="33303AB3" w14:textId="7C7E98F2"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1" w:history="1">
        <w:r w:rsidR="004446DF" w:rsidRPr="00771E87">
          <w:rPr>
            <w:rStyle w:val="Hipercze"/>
          </w:rPr>
          <w:t>4. Kategorie wydatków - komponent inwestycyjny</w:t>
        </w:r>
        <w:r w:rsidR="004446DF" w:rsidRPr="00771E87">
          <w:rPr>
            <w:webHidden/>
          </w:rPr>
          <w:tab/>
        </w:r>
        <w:r w:rsidR="004446DF" w:rsidRPr="00771E87">
          <w:rPr>
            <w:webHidden/>
          </w:rPr>
          <w:fldChar w:fldCharType="begin"/>
        </w:r>
        <w:r w:rsidR="004446DF" w:rsidRPr="00771E87">
          <w:rPr>
            <w:webHidden/>
          </w:rPr>
          <w:instrText xml:space="preserve"> PAGEREF _Toc162526821 \h </w:instrText>
        </w:r>
        <w:r w:rsidR="004446DF" w:rsidRPr="00771E87">
          <w:rPr>
            <w:webHidden/>
          </w:rPr>
        </w:r>
        <w:r w:rsidR="004446DF" w:rsidRPr="00771E87">
          <w:rPr>
            <w:webHidden/>
          </w:rPr>
          <w:fldChar w:fldCharType="separate"/>
        </w:r>
        <w:r w:rsidR="00214714" w:rsidRPr="00771E87">
          <w:rPr>
            <w:webHidden/>
          </w:rPr>
          <w:t>17</w:t>
        </w:r>
        <w:r w:rsidR="004446DF" w:rsidRPr="00771E87">
          <w:rPr>
            <w:webHidden/>
          </w:rPr>
          <w:fldChar w:fldCharType="end"/>
        </w:r>
      </w:hyperlink>
    </w:p>
    <w:p w14:paraId="5C48C5AF" w14:textId="6A64545E"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2" w:history="1">
        <w:r w:rsidR="004446DF" w:rsidRPr="00771E87">
          <w:rPr>
            <w:rStyle w:val="Hipercze"/>
          </w:rPr>
          <w:t>4.1 Środki trwałe</w:t>
        </w:r>
        <w:r w:rsidR="004446DF" w:rsidRPr="00771E87">
          <w:rPr>
            <w:webHidden/>
          </w:rPr>
          <w:tab/>
        </w:r>
        <w:r w:rsidR="004446DF" w:rsidRPr="00771E87">
          <w:rPr>
            <w:webHidden/>
          </w:rPr>
          <w:fldChar w:fldCharType="begin"/>
        </w:r>
        <w:r w:rsidR="004446DF" w:rsidRPr="00771E87">
          <w:rPr>
            <w:webHidden/>
          </w:rPr>
          <w:instrText xml:space="preserve"> PAGEREF _Toc162526822 \h </w:instrText>
        </w:r>
        <w:r w:rsidR="004446DF" w:rsidRPr="00771E87">
          <w:rPr>
            <w:webHidden/>
          </w:rPr>
        </w:r>
        <w:r w:rsidR="004446DF" w:rsidRPr="00771E87">
          <w:rPr>
            <w:webHidden/>
          </w:rPr>
          <w:fldChar w:fldCharType="separate"/>
        </w:r>
        <w:r w:rsidR="00214714" w:rsidRPr="00771E87">
          <w:rPr>
            <w:webHidden/>
          </w:rPr>
          <w:t>17</w:t>
        </w:r>
        <w:r w:rsidR="004446DF" w:rsidRPr="00771E87">
          <w:rPr>
            <w:webHidden/>
          </w:rPr>
          <w:fldChar w:fldCharType="end"/>
        </w:r>
      </w:hyperlink>
    </w:p>
    <w:p w14:paraId="6ED4B08D" w14:textId="3BF18F0E"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3" w:history="1">
        <w:r w:rsidR="004446DF" w:rsidRPr="00771E87">
          <w:rPr>
            <w:rStyle w:val="Hipercze"/>
            <w:shd w:val="clear" w:color="auto" w:fill="FFFFFF"/>
          </w:rPr>
          <w:t>4.2 Środki transportu</w:t>
        </w:r>
        <w:r w:rsidR="004446DF" w:rsidRPr="00771E87">
          <w:rPr>
            <w:webHidden/>
          </w:rPr>
          <w:tab/>
        </w:r>
        <w:r w:rsidR="004446DF" w:rsidRPr="00771E87">
          <w:rPr>
            <w:webHidden/>
          </w:rPr>
          <w:fldChar w:fldCharType="begin"/>
        </w:r>
        <w:r w:rsidR="004446DF" w:rsidRPr="00771E87">
          <w:rPr>
            <w:webHidden/>
          </w:rPr>
          <w:instrText xml:space="preserve"> PAGEREF _Toc162526823 \h </w:instrText>
        </w:r>
        <w:r w:rsidR="004446DF" w:rsidRPr="00771E87">
          <w:rPr>
            <w:webHidden/>
          </w:rPr>
        </w:r>
        <w:r w:rsidR="004446DF" w:rsidRPr="00771E87">
          <w:rPr>
            <w:webHidden/>
          </w:rPr>
          <w:fldChar w:fldCharType="separate"/>
        </w:r>
        <w:r w:rsidR="00214714" w:rsidRPr="00771E87">
          <w:rPr>
            <w:webHidden/>
          </w:rPr>
          <w:t>18</w:t>
        </w:r>
        <w:r w:rsidR="004446DF" w:rsidRPr="00771E87">
          <w:rPr>
            <w:webHidden/>
          </w:rPr>
          <w:fldChar w:fldCharType="end"/>
        </w:r>
      </w:hyperlink>
    </w:p>
    <w:p w14:paraId="7085F33A" w14:textId="3E707629"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4" w:history="1">
        <w:r w:rsidR="004446DF" w:rsidRPr="00771E87">
          <w:rPr>
            <w:rStyle w:val="Hipercze"/>
          </w:rPr>
          <w:t>4.3 Wartości niematerialne i prawne</w:t>
        </w:r>
        <w:r w:rsidR="004446DF" w:rsidRPr="00771E87">
          <w:rPr>
            <w:webHidden/>
          </w:rPr>
          <w:tab/>
        </w:r>
        <w:r w:rsidR="004446DF" w:rsidRPr="00771E87">
          <w:rPr>
            <w:webHidden/>
          </w:rPr>
          <w:fldChar w:fldCharType="begin"/>
        </w:r>
        <w:r w:rsidR="004446DF" w:rsidRPr="00771E87">
          <w:rPr>
            <w:webHidden/>
          </w:rPr>
          <w:instrText xml:space="preserve"> PAGEREF _Toc162526824 \h </w:instrText>
        </w:r>
        <w:r w:rsidR="004446DF" w:rsidRPr="00771E87">
          <w:rPr>
            <w:webHidden/>
          </w:rPr>
        </w:r>
        <w:r w:rsidR="004446DF" w:rsidRPr="00771E87">
          <w:rPr>
            <w:webHidden/>
          </w:rPr>
          <w:fldChar w:fldCharType="separate"/>
        </w:r>
        <w:r w:rsidR="00214714" w:rsidRPr="00771E87">
          <w:rPr>
            <w:webHidden/>
          </w:rPr>
          <w:t>18</w:t>
        </w:r>
        <w:r w:rsidR="004446DF" w:rsidRPr="00771E87">
          <w:rPr>
            <w:webHidden/>
          </w:rPr>
          <w:fldChar w:fldCharType="end"/>
        </w:r>
      </w:hyperlink>
    </w:p>
    <w:p w14:paraId="5DD0E863" w14:textId="58DD9919"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5" w:history="1">
        <w:r w:rsidR="004446DF" w:rsidRPr="00771E87">
          <w:rPr>
            <w:rStyle w:val="Hipercze"/>
          </w:rPr>
          <w:t>4.4 Amortyzacja środków trwałych oraz wartości niematerialnych i prawnych</w:t>
        </w:r>
        <w:r w:rsidR="004446DF" w:rsidRPr="00771E87">
          <w:rPr>
            <w:webHidden/>
          </w:rPr>
          <w:tab/>
        </w:r>
        <w:r w:rsidR="004446DF" w:rsidRPr="00771E87">
          <w:rPr>
            <w:webHidden/>
          </w:rPr>
          <w:fldChar w:fldCharType="begin"/>
        </w:r>
        <w:r w:rsidR="004446DF" w:rsidRPr="00771E87">
          <w:rPr>
            <w:webHidden/>
          </w:rPr>
          <w:instrText xml:space="preserve"> PAGEREF _Toc162526825 \h </w:instrText>
        </w:r>
        <w:r w:rsidR="004446DF" w:rsidRPr="00771E87">
          <w:rPr>
            <w:webHidden/>
          </w:rPr>
        </w:r>
        <w:r w:rsidR="004446DF" w:rsidRPr="00771E87">
          <w:rPr>
            <w:webHidden/>
          </w:rPr>
          <w:fldChar w:fldCharType="separate"/>
        </w:r>
        <w:r w:rsidR="00214714" w:rsidRPr="00771E87">
          <w:rPr>
            <w:webHidden/>
          </w:rPr>
          <w:t>19</w:t>
        </w:r>
        <w:r w:rsidR="004446DF" w:rsidRPr="00771E87">
          <w:rPr>
            <w:webHidden/>
          </w:rPr>
          <w:fldChar w:fldCharType="end"/>
        </w:r>
      </w:hyperlink>
    </w:p>
    <w:p w14:paraId="32700298" w14:textId="70EFA36B"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6" w:history="1">
        <w:r w:rsidR="004446DF" w:rsidRPr="00771E87">
          <w:rPr>
            <w:rStyle w:val="Hipercze"/>
          </w:rPr>
          <w:t>4.5 Roboty budowlane</w:t>
        </w:r>
        <w:r w:rsidR="004446DF" w:rsidRPr="00771E87">
          <w:rPr>
            <w:webHidden/>
          </w:rPr>
          <w:tab/>
        </w:r>
        <w:r w:rsidR="004446DF" w:rsidRPr="00771E87">
          <w:rPr>
            <w:webHidden/>
          </w:rPr>
          <w:fldChar w:fldCharType="begin"/>
        </w:r>
        <w:r w:rsidR="004446DF" w:rsidRPr="00771E87">
          <w:rPr>
            <w:webHidden/>
          </w:rPr>
          <w:instrText xml:space="preserve"> PAGEREF _Toc162526826 \h </w:instrText>
        </w:r>
        <w:r w:rsidR="004446DF" w:rsidRPr="00771E87">
          <w:rPr>
            <w:webHidden/>
          </w:rPr>
        </w:r>
        <w:r w:rsidR="004446DF" w:rsidRPr="00771E87">
          <w:rPr>
            <w:webHidden/>
          </w:rPr>
          <w:fldChar w:fldCharType="separate"/>
        </w:r>
        <w:r w:rsidR="00214714" w:rsidRPr="00771E87">
          <w:rPr>
            <w:webHidden/>
          </w:rPr>
          <w:t>20</w:t>
        </w:r>
        <w:r w:rsidR="004446DF" w:rsidRPr="00771E87">
          <w:rPr>
            <w:webHidden/>
          </w:rPr>
          <w:fldChar w:fldCharType="end"/>
        </w:r>
      </w:hyperlink>
    </w:p>
    <w:p w14:paraId="0E2058E3" w14:textId="74371B46"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7" w:history="1">
        <w:r w:rsidR="004446DF" w:rsidRPr="00771E87">
          <w:rPr>
            <w:rStyle w:val="Hipercze"/>
          </w:rPr>
          <w:t>4.6 Koszty związane z zieloną transformacją</w:t>
        </w:r>
        <w:r w:rsidR="004446DF" w:rsidRPr="00771E87">
          <w:rPr>
            <w:webHidden/>
          </w:rPr>
          <w:tab/>
        </w:r>
        <w:r w:rsidR="004446DF" w:rsidRPr="00771E87">
          <w:rPr>
            <w:webHidden/>
          </w:rPr>
          <w:fldChar w:fldCharType="begin"/>
        </w:r>
        <w:r w:rsidR="004446DF" w:rsidRPr="00771E87">
          <w:rPr>
            <w:webHidden/>
          </w:rPr>
          <w:instrText xml:space="preserve"> PAGEREF _Toc162526827 \h </w:instrText>
        </w:r>
        <w:r w:rsidR="004446DF" w:rsidRPr="00771E87">
          <w:rPr>
            <w:webHidden/>
          </w:rPr>
        </w:r>
        <w:r w:rsidR="004446DF" w:rsidRPr="00771E87">
          <w:rPr>
            <w:webHidden/>
          </w:rPr>
          <w:fldChar w:fldCharType="separate"/>
        </w:r>
        <w:r w:rsidR="00214714" w:rsidRPr="00771E87">
          <w:rPr>
            <w:webHidden/>
          </w:rPr>
          <w:t>21</w:t>
        </w:r>
        <w:r w:rsidR="004446DF" w:rsidRPr="00771E87">
          <w:rPr>
            <w:webHidden/>
          </w:rPr>
          <w:fldChar w:fldCharType="end"/>
        </w:r>
      </w:hyperlink>
    </w:p>
    <w:p w14:paraId="09FEC3E0" w14:textId="7FE7F1C5"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8" w:history="1">
        <w:r w:rsidR="004446DF" w:rsidRPr="00771E87">
          <w:rPr>
            <w:rStyle w:val="Hipercze"/>
          </w:rPr>
          <w:t>4.7 Koszty związane z transformacją cyfrową</w:t>
        </w:r>
        <w:r w:rsidR="004446DF" w:rsidRPr="00771E87">
          <w:rPr>
            <w:webHidden/>
          </w:rPr>
          <w:tab/>
        </w:r>
        <w:r w:rsidR="004446DF" w:rsidRPr="00771E87">
          <w:rPr>
            <w:webHidden/>
          </w:rPr>
          <w:fldChar w:fldCharType="begin"/>
        </w:r>
        <w:r w:rsidR="004446DF" w:rsidRPr="00771E87">
          <w:rPr>
            <w:webHidden/>
          </w:rPr>
          <w:instrText xml:space="preserve"> PAGEREF _Toc162526828 \h </w:instrText>
        </w:r>
        <w:r w:rsidR="004446DF" w:rsidRPr="00771E87">
          <w:rPr>
            <w:webHidden/>
          </w:rPr>
        </w:r>
        <w:r w:rsidR="004446DF" w:rsidRPr="00771E87">
          <w:rPr>
            <w:webHidden/>
          </w:rPr>
          <w:fldChar w:fldCharType="separate"/>
        </w:r>
        <w:r w:rsidR="00214714" w:rsidRPr="00771E87">
          <w:rPr>
            <w:webHidden/>
          </w:rPr>
          <w:t>22</w:t>
        </w:r>
        <w:r w:rsidR="004446DF" w:rsidRPr="00771E87">
          <w:rPr>
            <w:webHidden/>
          </w:rPr>
          <w:fldChar w:fldCharType="end"/>
        </w:r>
      </w:hyperlink>
    </w:p>
    <w:p w14:paraId="0DAD1FD3" w14:textId="3FA3AC76"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29" w:history="1">
        <w:r w:rsidR="004446DF" w:rsidRPr="00771E87">
          <w:rPr>
            <w:rStyle w:val="Hipercze"/>
          </w:rPr>
          <w:t>5. Komponent szkoleniowy</w:t>
        </w:r>
        <w:r w:rsidR="004446DF" w:rsidRPr="00771E87">
          <w:rPr>
            <w:webHidden/>
          </w:rPr>
          <w:tab/>
        </w:r>
        <w:r w:rsidR="004446DF" w:rsidRPr="00771E87">
          <w:rPr>
            <w:webHidden/>
          </w:rPr>
          <w:fldChar w:fldCharType="begin"/>
        </w:r>
        <w:r w:rsidR="004446DF" w:rsidRPr="00771E87">
          <w:rPr>
            <w:webHidden/>
          </w:rPr>
          <w:instrText xml:space="preserve"> PAGEREF _Toc162526829 \h </w:instrText>
        </w:r>
        <w:r w:rsidR="004446DF" w:rsidRPr="00771E87">
          <w:rPr>
            <w:webHidden/>
          </w:rPr>
        </w:r>
        <w:r w:rsidR="004446DF" w:rsidRPr="00771E87">
          <w:rPr>
            <w:webHidden/>
          </w:rPr>
          <w:fldChar w:fldCharType="separate"/>
        </w:r>
        <w:r w:rsidR="00214714" w:rsidRPr="00771E87">
          <w:rPr>
            <w:webHidden/>
          </w:rPr>
          <w:t>22</w:t>
        </w:r>
        <w:r w:rsidR="004446DF" w:rsidRPr="00771E87">
          <w:rPr>
            <w:webHidden/>
          </w:rPr>
          <w:fldChar w:fldCharType="end"/>
        </w:r>
      </w:hyperlink>
    </w:p>
    <w:p w14:paraId="45AAA503" w14:textId="20888152"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0" w:history="1">
        <w:r w:rsidR="004446DF" w:rsidRPr="00771E87">
          <w:rPr>
            <w:rStyle w:val="Hipercze"/>
          </w:rPr>
          <w:t>6. Komponent doradczy - usługi rozwojowe</w:t>
        </w:r>
        <w:r w:rsidR="004446DF" w:rsidRPr="00771E87">
          <w:rPr>
            <w:webHidden/>
          </w:rPr>
          <w:tab/>
        </w:r>
        <w:r w:rsidR="004446DF" w:rsidRPr="00771E87">
          <w:rPr>
            <w:webHidden/>
          </w:rPr>
          <w:fldChar w:fldCharType="begin"/>
        </w:r>
        <w:r w:rsidR="004446DF" w:rsidRPr="00771E87">
          <w:rPr>
            <w:webHidden/>
          </w:rPr>
          <w:instrText xml:space="preserve"> PAGEREF _Toc162526830 \h </w:instrText>
        </w:r>
        <w:r w:rsidR="004446DF" w:rsidRPr="00771E87">
          <w:rPr>
            <w:webHidden/>
          </w:rPr>
        </w:r>
        <w:r w:rsidR="004446DF" w:rsidRPr="00771E87">
          <w:rPr>
            <w:webHidden/>
          </w:rPr>
          <w:fldChar w:fldCharType="separate"/>
        </w:r>
        <w:r w:rsidR="00214714" w:rsidRPr="00771E87">
          <w:rPr>
            <w:webHidden/>
          </w:rPr>
          <w:t>23</w:t>
        </w:r>
        <w:r w:rsidR="004446DF" w:rsidRPr="00771E87">
          <w:rPr>
            <w:webHidden/>
          </w:rPr>
          <w:fldChar w:fldCharType="end"/>
        </w:r>
      </w:hyperlink>
    </w:p>
    <w:p w14:paraId="3E89493E" w14:textId="3D05F324"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1" w:history="1">
        <w:r w:rsidR="004446DF" w:rsidRPr="00771E87">
          <w:rPr>
            <w:rStyle w:val="Hipercze"/>
          </w:rPr>
          <w:t>7. Dokumentowanie wydatków.</w:t>
        </w:r>
        <w:r w:rsidR="004446DF" w:rsidRPr="00771E87">
          <w:rPr>
            <w:webHidden/>
          </w:rPr>
          <w:tab/>
        </w:r>
        <w:r w:rsidR="004446DF" w:rsidRPr="00771E87">
          <w:rPr>
            <w:webHidden/>
          </w:rPr>
          <w:fldChar w:fldCharType="begin"/>
        </w:r>
        <w:r w:rsidR="004446DF" w:rsidRPr="00771E87">
          <w:rPr>
            <w:webHidden/>
          </w:rPr>
          <w:instrText xml:space="preserve"> PAGEREF _Toc162526831 \h </w:instrText>
        </w:r>
        <w:r w:rsidR="004446DF" w:rsidRPr="00771E87">
          <w:rPr>
            <w:webHidden/>
          </w:rPr>
        </w:r>
        <w:r w:rsidR="004446DF" w:rsidRPr="00771E87">
          <w:rPr>
            <w:webHidden/>
          </w:rPr>
          <w:fldChar w:fldCharType="separate"/>
        </w:r>
        <w:r w:rsidR="00214714" w:rsidRPr="00771E87">
          <w:rPr>
            <w:webHidden/>
          </w:rPr>
          <w:t>24</w:t>
        </w:r>
        <w:r w:rsidR="004446DF" w:rsidRPr="00771E87">
          <w:rPr>
            <w:webHidden/>
          </w:rPr>
          <w:fldChar w:fldCharType="end"/>
        </w:r>
      </w:hyperlink>
    </w:p>
    <w:p w14:paraId="33CBB19B" w14:textId="3D88230A"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2" w:history="1">
        <w:r w:rsidR="004446DF" w:rsidRPr="00771E87">
          <w:rPr>
            <w:rStyle w:val="Hipercze"/>
          </w:rPr>
          <w:t>7.1. Opis dokumentu</w:t>
        </w:r>
        <w:r w:rsidR="004446DF" w:rsidRPr="00771E87">
          <w:rPr>
            <w:webHidden/>
          </w:rPr>
          <w:tab/>
        </w:r>
        <w:r w:rsidR="004446DF" w:rsidRPr="00771E87">
          <w:rPr>
            <w:webHidden/>
          </w:rPr>
          <w:fldChar w:fldCharType="begin"/>
        </w:r>
        <w:r w:rsidR="004446DF" w:rsidRPr="00771E87">
          <w:rPr>
            <w:webHidden/>
          </w:rPr>
          <w:instrText xml:space="preserve"> PAGEREF _Toc162526832 \h </w:instrText>
        </w:r>
        <w:r w:rsidR="004446DF" w:rsidRPr="00771E87">
          <w:rPr>
            <w:webHidden/>
          </w:rPr>
        </w:r>
        <w:r w:rsidR="004446DF" w:rsidRPr="00771E87">
          <w:rPr>
            <w:webHidden/>
          </w:rPr>
          <w:fldChar w:fldCharType="separate"/>
        </w:r>
        <w:r w:rsidR="00214714" w:rsidRPr="00771E87">
          <w:rPr>
            <w:webHidden/>
          </w:rPr>
          <w:t>25</w:t>
        </w:r>
        <w:r w:rsidR="004446DF" w:rsidRPr="00771E87">
          <w:rPr>
            <w:webHidden/>
          </w:rPr>
          <w:fldChar w:fldCharType="end"/>
        </w:r>
      </w:hyperlink>
    </w:p>
    <w:p w14:paraId="2869583C" w14:textId="7F8220E9"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3" w:history="1">
        <w:r w:rsidR="004446DF" w:rsidRPr="00771E87">
          <w:rPr>
            <w:rStyle w:val="Hipercze"/>
          </w:rPr>
          <w:t>8. Koszty niekwalifikowalne</w:t>
        </w:r>
        <w:r w:rsidR="004446DF" w:rsidRPr="00771E87">
          <w:rPr>
            <w:webHidden/>
          </w:rPr>
          <w:tab/>
        </w:r>
        <w:r w:rsidR="004446DF" w:rsidRPr="00771E87">
          <w:rPr>
            <w:webHidden/>
          </w:rPr>
          <w:fldChar w:fldCharType="begin"/>
        </w:r>
        <w:r w:rsidR="004446DF" w:rsidRPr="00771E87">
          <w:rPr>
            <w:webHidden/>
          </w:rPr>
          <w:instrText xml:space="preserve"> PAGEREF _Toc162526833 \h </w:instrText>
        </w:r>
        <w:r w:rsidR="004446DF" w:rsidRPr="00771E87">
          <w:rPr>
            <w:webHidden/>
          </w:rPr>
        </w:r>
        <w:r w:rsidR="004446DF" w:rsidRPr="00771E87">
          <w:rPr>
            <w:webHidden/>
          </w:rPr>
          <w:fldChar w:fldCharType="separate"/>
        </w:r>
        <w:r w:rsidR="00214714" w:rsidRPr="00771E87">
          <w:rPr>
            <w:webHidden/>
          </w:rPr>
          <w:t>26</w:t>
        </w:r>
        <w:r w:rsidR="004446DF" w:rsidRPr="00771E87">
          <w:rPr>
            <w:webHidden/>
          </w:rPr>
          <w:fldChar w:fldCharType="end"/>
        </w:r>
      </w:hyperlink>
    </w:p>
    <w:p w14:paraId="6C6AAFDD" w14:textId="2592AA60"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4" w:history="1">
        <w:r w:rsidR="004446DF" w:rsidRPr="00771E87">
          <w:rPr>
            <w:rStyle w:val="Hipercze"/>
          </w:rPr>
          <w:t>9. Podstawy prawne</w:t>
        </w:r>
        <w:r w:rsidR="004446DF" w:rsidRPr="00771E87">
          <w:rPr>
            <w:webHidden/>
          </w:rPr>
          <w:tab/>
        </w:r>
        <w:r w:rsidR="004446DF" w:rsidRPr="00771E87">
          <w:rPr>
            <w:webHidden/>
          </w:rPr>
          <w:fldChar w:fldCharType="begin"/>
        </w:r>
        <w:r w:rsidR="004446DF" w:rsidRPr="00771E87">
          <w:rPr>
            <w:webHidden/>
          </w:rPr>
          <w:instrText xml:space="preserve"> PAGEREF _Toc162526834 \h </w:instrText>
        </w:r>
        <w:r w:rsidR="004446DF" w:rsidRPr="00771E87">
          <w:rPr>
            <w:webHidden/>
          </w:rPr>
        </w:r>
        <w:r w:rsidR="004446DF" w:rsidRPr="00771E87">
          <w:rPr>
            <w:webHidden/>
          </w:rPr>
          <w:fldChar w:fldCharType="separate"/>
        </w:r>
        <w:r w:rsidR="00214714" w:rsidRPr="00771E87">
          <w:rPr>
            <w:webHidden/>
          </w:rPr>
          <w:t>27</w:t>
        </w:r>
        <w:r w:rsidR="004446DF" w:rsidRPr="00771E87">
          <w:rPr>
            <w:webHidden/>
          </w:rPr>
          <w:fldChar w:fldCharType="end"/>
        </w:r>
      </w:hyperlink>
    </w:p>
    <w:p w14:paraId="53E9A8B8" w14:textId="174361D8" w:rsidR="004446DF" w:rsidRPr="00771E87" w:rsidRDefault="00F00B76">
      <w:pPr>
        <w:pStyle w:val="Spistreci1"/>
        <w:rPr>
          <w:rFonts w:asciiTheme="minorHAnsi" w:eastAsiaTheme="minorEastAsia" w:hAnsiTheme="minorHAnsi" w:cstheme="minorBidi"/>
          <w:bCs w:val="0"/>
          <w:sz w:val="22"/>
          <w:lang w:eastAsia="pl-PL"/>
          <w14:ligatures w14:val="none"/>
        </w:rPr>
      </w:pPr>
      <w:hyperlink w:anchor="_Toc162526835" w:history="1">
        <w:r w:rsidR="004446DF" w:rsidRPr="00771E87">
          <w:rPr>
            <w:rStyle w:val="Hipercze"/>
          </w:rPr>
          <w:t>10. Lista załączników do Przewodnika kwalifikowalności</w:t>
        </w:r>
        <w:r w:rsidR="004446DF" w:rsidRPr="00771E87">
          <w:rPr>
            <w:webHidden/>
          </w:rPr>
          <w:tab/>
        </w:r>
        <w:r w:rsidR="004446DF" w:rsidRPr="00771E87">
          <w:rPr>
            <w:webHidden/>
          </w:rPr>
          <w:fldChar w:fldCharType="begin"/>
        </w:r>
        <w:r w:rsidR="004446DF" w:rsidRPr="00771E87">
          <w:rPr>
            <w:webHidden/>
          </w:rPr>
          <w:instrText xml:space="preserve"> PAGEREF _Toc162526835 \h </w:instrText>
        </w:r>
        <w:r w:rsidR="004446DF" w:rsidRPr="00771E87">
          <w:rPr>
            <w:webHidden/>
          </w:rPr>
        </w:r>
        <w:r w:rsidR="004446DF" w:rsidRPr="00771E87">
          <w:rPr>
            <w:webHidden/>
          </w:rPr>
          <w:fldChar w:fldCharType="separate"/>
        </w:r>
        <w:r w:rsidR="00214714" w:rsidRPr="00771E87">
          <w:rPr>
            <w:webHidden/>
          </w:rPr>
          <w:t>29</w:t>
        </w:r>
        <w:r w:rsidR="004446DF" w:rsidRPr="00771E87">
          <w:rPr>
            <w:webHidden/>
          </w:rPr>
          <w:fldChar w:fldCharType="end"/>
        </w:r>
      </w:hyperlink>
    </w:p>
    <w:p w14:paraId="069A421D" w14:textId="38A8F08A" w:rsidR="00FD3075" w:rsidRPr="00771E87" w:rsidRDefault="00E72802" w:rsidP="004B3A93">
      <w:pPr>
        <w:keepLines/>
        <w:spacing w:line="240" w:lineRule="auto"/>
        <w:rPr>
          <w:rFonts w:cstheme="minorHAnsi"/>
          <w:sz w:val="24"/>
          <w:szCs w:val="24"/>
        </w:rPr>
      </w:pPr>
      <w:r w:rsidRPr="00771E87">
        <w:rPr>
          <w:rFonts w:cstheme="minorHAnsi"/>
          <w:sz w:val="24"/>
          <w:szCs w:val="24"/>
        </w:rPr>
        <w:fldChar w:fldCharType="end"/>
      </w:r>
    </w:p>
    <w:p w14:paraId="029B2CAE" w14:textId="40C5353B" w:rsidR="00AE1DF8" w:rsidRPr="00771E87" w:rsidRDefault="5FE112F7" w:rsidP="00E57A4B">
      <w:pPr>
        <w:pStyle w:val="NCBR2Nagowek"/>
        <w:spacing w:after="360"/>
        <w:rPr>
          <w:rFonts w:asciiTheme="minorHAnsi" w:hAnsiTheme="minorHAnsi" w:cstheme="minorHAnsi"/>
        </w:rPr>
      </w:pPr>
      <w:bookmarkStart w:id="1" w:name="_Toc153712596"/>
      <w:bookmarkStart w:id="2" w:name="_Toc162526805"/>
      <w:r w:rsidRPr="00771E87">
        <w:rPr>
          <w:rFonts w:asciiTheme="minorHAnsi" w:hAnsiTheme="minorHAnsi" w:cstheme="minorHAnsi"/>
        </w:rPr>
        <w:lastRenderedPageBreak/>
        <w:t xml:space="preserve">1. Cel </w:t>
      </w:r>
      <w:r w:rsidR="76C4302C" w:rsidRPr="00771E87">
        <w:rPr>
          <w:rFonts w:asciiTheme="minorHAnsi" w:hAnsiTheme="minorHAnsi" w:cstheme="minorHAnsi"/>
        </w:rPr>
        <w:t>P</w:t>
      </w:r>
      <w:r w:rsidRPr="00771E87">
        <w:rPr>
          <w:rFonts w:asciiTheme="minorHAnsi" w:hAnsiTheme="minorHAnsi" w:cstheme="minorHAnsi"/>
        </w:rPr>
        <w:t>rzewodnika</w:t>
      </w:r>
      <w:bookmarkEnd w:id="1"/>
      <w:bookmarkEnd w:id="2"/>
    </w:p>
    <w:p w14:paraId="1635D933" w14:textId="1ACB8BE0" w:rsidR="004E4339" w:rsidRPr="00771E87" w:rsidRDefault="431C5AF5" w:rsidP="5C24ED9C">
      <w:pPr>
        <w:spacing w:line="360" w:lineRule="auto"/>
        <w:rPr>
          <w:rFonts w:cstheme="minorHAnsi"/>
          <w:sz w:val="24"/>
          <w:szCs w:val="24"/>
        </w:rPr>
      </w:pPr>
      <w:r w:rsidRPr="00771E87">
        <w:rPr>
          <w:rFonts w:cstheme="minorHAnsi"/>
          <w:sz w:val="24"/>
          <w:szCs w:val="24"/>
        </w:rPr>
        <w:t xml:space="preserve">Celem niniejszego </w:t>
      </w:r>
      <w:r w:rsidR="7D81F79F" w:rsidRPr="00771E87">
        <w:rPr>
          <w:rFonts w:cstheme="minorHAnsi"/>
          <w:sz w:val="24"/>
          <w:szCs w:val="24"/>
        </w:rPr>
        <w:t>P</w:t>
      </w:r>
      <w:r w:rsidRPr="00771E87">
        <w:rPr>
          <w:rFonts w:cstheme="minorHAnsi"/>
          <w:sz w:val="24"/>
          <w:szCs w:val="24"/>
        </w:rPr>
        <w:t>rzewodnika jest dostarczenie</w:t>
      </w:r>
      <w:r w:rsidR="0471C1F9" w:rsidRPr="00771E87">
        <w:rPr>
          <w:rFonts w:cstheme="minorHAnsi"/>
          <w:sz w:val="24"/>
          <w:szCs w:val="24"/>
        </w:rPr>
        <w:t xml:space="preserve"> </w:t>
      </w:r>
      <w:r w:rsidR="0471C1F9" w:rsidRPr="00771E87">
        <w:rPr>
          <w:rFonts w:eastAsia="Calibri" w:cstheme="minorHAnsi"/>
          <w:sz w:val="24"/>
          <w:szCs w:val="24"/>
        </w:rPr>
        <w:t>mikroprzedsiębiorstwom, małym lub średnim przedsiębiorstwom (dalej:</w:t>
      </w:r>
      <w:r w:rsidRPr="00771E87">
        <w:rPr>
          <w:rFonts w:cstheme="minorHAnsi"/>
          <w:sz w:val="24"/>
          <w:szCs w:val="24"/>
        </w:rPr>
        <w:t xml:space="preserve"> MŚP </w:t>
      </w:r>
      <w:r w:rsidR="4755514B" w:rsidRPr="00771E87">
        <w:rPr>
          <w:rFonts w:cstheme="minorHAnsi"/>
          <w:sz w:val="24"/>
          <w:szCs w:val="24"/>
        </w:rPr>
        <w:t xml:space="preserve">lub przedsiębiorstwa) </w:t>
      </w:r>
      <w:r w:rsidRPr="00771E87">
        <w:rPr>
          <w:rFonts w:cstheme="minorHAnsi"/>
          <w:sz w:val="24"/>
          <w:szCs w:val="24"/>
        </w:rPr>
        <w:t>szczegółowych informacji</w:t>
      </w:r>
      <w:r w:rsidR="00C3305A" w:rsidRPr="00771E87">
        <w:rPr>
          <w:rFonts w:cstheme="minorHAnsi"/>
          <w:sz w:val="24"/>
          <w:szCs w:val="24"/>
        </w:rPr>
        <w:t xml:space="preserve"> </w:t>
      </w:r>
      <w:r w:rsidRPr="00771E87">
        <w:rPr>
          <w:rFonts w:cstheme="minorHAnsi"/>
          <w:sz w:val="24"/>
          <w:szCs w:val="24"/>
        </w:rPr>
        <w:t>o</w:t>
      </w:r>
      <w:r w:rsidR="007A1375" w:rsidRPr="00771E87">
        <w:rPr>
          <w:rFonts w:cstheme="minorHAnsi"/>
          <w:sz w:val="24"/>
          <w:szCs w:val="24"/>
        </w:rPr>
        <w:t xml:space="preserve"> </w:t>
      </w:r>
      <w:r w:rsidR="002C1571" w:rsidRPr="00771E87">
        <w:rPr>
          <w:rFonts w:cstheme="minorHAnsi"/>
          <w:sz w:val="24"/>
          <w:szCs w:val="24"/>
        </w:rPr>
        <w:t> </w:t>
      </w:r>
      <w:r w:rsidRPr="00771E87">
        <w:rPr>
          <w:rFonts w:cstheme="minorHAnsi"/>
          <w:sz w:val="24"/>
          <w:szCs w:val="24"/>
        </w:rPr>
        <w:t xml:space="preserve">kwalifikowalności wydatków w ramach Inwestycji A1.2.1, co </w:t>
      </w:r>
      <w:r w:rsidR="00EA776F" w:rsidRPr="00771E87">
        <w:rPr>
          <w:rFonts w:cstheme="minorHAnsi"/>
          <w:sz w:val="24"/>
          <w:szCs w:val="24"/>
        </w:rPr>
        <w:t>ma ułatwić przygotowanie kosztów przedsięwzięć MŚP, a następnie ich prawidłowe rozliczanie w ramach otrzymanego wsparcia.</w:t>
      </w:r>
    </w:p>
    <w:p w14:paraId="10A0ED1A" w14:textId="7E05D9C8" w:rsidR="00E02809" w:rsidRPr="00771E87" w:rsidRDefault="00EA776F" w:rsidP="004B3A93">
      <w:pPr>
        <w:spacing w:line="360" w:lineRule="auto"/>
        <w:rPr>
          <w:rFonts w:cstheme="minorHAnsi"/>
          <w:sz w:val="24"/>
          <w:szCs w:val="24"/>
        </w:rPr>
      </w:pPr>
      <w:r w:rsidRPr="00771E87">
        <w:rPr>
          <w:rFonts w:cstheme="minorHAnsi"/>
          <w:sz w:val="24"/>
          <w:szCs w:val="24"/>
        </w:rPr>
        <w:t xml:space="preserve">Przewodnik został opracowany </w:t>
      </w:r>
      <w:r w:rsidR="1824FCF0" w:rsidRPr="00771E87">
        <w:rPr>
          <w:rFonts w:cstheme="minorHAnsi"/>
          <w:sz w:val="24"/>
          <w:szCs w:val="24"/>
        </w:rPr>
        <w:t>z</w:t>
      </w:r>
      <w:r w:rsidRPr="00771E87">
        <w:rPr>
          <w:rFonts w:cstheme="minorHAnsi"/>
          <w:sz w:val="24"/>
          <w:szCs w:val="24"/>
        </w:rPr>
        <w:t xml:space="preserve"> uwzględnieniem obowiązujących przepisów prawa oraz zasad mających zastosowanie do wsparcia w ramach Krajowego Planu Odbudowy</w:t>
      </w:r>
      <w:r w:rsidR="610212CA" w:rsidRPr="00771E87">
        <w:rPr>
          <w:rFonts w:cstheme="minorHAnsi"/>
          <w:sz w:val="24"/>
          <w:szCs w:val="24"/>
        </w:rPr>
        <w:t xml:space="preserve"> i Zwiększania Odporności (dalej: KPO lub plan rozwojowy)</w:t>
      </w:r>
      <w:r w:rsidRPr="00771E87">
        <w:rPr>
          <w:rFonts w:cstheme="minorHAnsi"/>
          <w:sz w:val="24"/>
          <w:szCs w:val="24"/>
        </w:rPr>
        <w:t>.</w:t>
      </w:r>
      <w:r w:rsidR="00914D6F" w:rsidRPr="00771E87">
        <w:rPr>
          <w:rStyle w:val="Odwoanieprzypisudolnego"/>
          <w:rFonts w:cstheme="minorHAnsi"/>
          <w:sz w:val="24"/>
          <w:szCs w:val="24"/>
        </w:rPr>
        <w:footnoteReference w:id="1"/>
      </w:r>
    </w:p>
    <w:p w14:paraId="57B758D3" w14:textId="0DC1CAE6" w:rsidR="00C3305A" w:rsidRPr="00771E87" w:rsidRDefault="2FA9B63D" w:rsidP="004B3A93">
      <w:pPr>
        <w:spacing w:line="360" w:lineRule="auto"/>
        <w:rPr>
          <w:rFonts w:cstheme="minorHAnsi"/>
          <w:sz w:val="24"/>
          <w:szCs w:val="24"/>
        </w:rPr>
      </w:pPr>
      <w:r w:rsidRPr="00771E87">
        <w:rPr>
          <w:rFonts w:cstheme="minorHAnsi"/>
          <w:sz w:val="24"/>
          <w:szCs w:val="24"/>
        </w:rPr>
        <w:t>Do oceny kwalifikowalności poniesionych wydatków stosuje się Przewodnik w wersji obowiązującej na dzień poniesienia wydatku. W przypadku zmiany Przewodnika, w odniesieniu</w:t>
      </w:r>
      <w:r w:rsidR="00C3305A" w:rsidRPr="00771E87">
        <w:rPr>
          <w:rFonts w:cstheme="minorHAnsi"/>
          <w:sz w:val="24"/>
          <w:szCs w:val="24"/>
        </w:rPr>
        <w:t xml:space="preserve"> </w:t>
      </w:r>
      <w:r w:rsidRPr="00771E87">
        <w:rPr>
          <w:rFonts w:cstheme="minorHAnsi"/>
          <w:sz w:val="24"/>
          <w:szCs w:val="24"/>
        </w:rPr>
        <w:t xml:space="preserve">do </w:t>
      </w:r>
      <w:r w:rsidR="002C1571" w:rsidRPr="00771E87">
        <w:rPr>
          <w:rFonts w:cstheme="minorHAnsi"/>
          <w:sz w:val="24"/>
          <w:szCs w:val="24"/>
        </w:rPr>
        <w:t> </w:t>
      </w:r>
      <w:r w:rsidRPr="00771E87">
        <w:rPr>
          <w:rFonts w:cstheme="minorHAnsi"/>
          <w:sz w:val="24"/>
          <w:szCs w:val="24"/>
        </w:rPr>
        <w:t>nierozliczonych wydatków, możliwe jest zastosowanie nowych rozwiązań, jeżeli są one korzystniejsze dla MŚP.</w:t>
      </w:r>
    </w:p>
    <w:p w14:paraId="64EC7727" w14:textId="53A6CAF7" w:rsidR="00D17E9A" w:rsidRPr="00771E87" w:rsidRDefault="00C3305A" w:rsidP="00E57A4B">
      <w:pPr>
        <w:rPr>
          <w:rFonts w:cstheme="minorHAnsi"/>
          <w:sz w:val="24"/>
          <w:szCs w:val="24"/>
        </w:rPr>
      </w:pPr>
      <w:r w:rsidRPr="00771E87">
        <w:rPr>
          <w:rFonts w:cstheme="minorHAnsi"/>
          <w:sz w:val="24"/>
          <w:szCs w:val="24"/>
        </w:rPr>
        <w:br w:type="page"/>
      </w:r>
    </w:p>
    <w:p w14:paraId="723013CD" w14:textId="0A712EF5" w:rsidR="00D17E9A" w:rsidRPr="00771E87" w:rsidRDefault="00E02809" w:rsidP="00E57A4B">
      <w:pPr>
        <w:pStyle w:val="NCBR2Nagowek"/>
        <w:spacing w:after="360"/>
        <w:rPr>
          <w:rFonts w:asciiTheme="minorHAnsi" w:hAnsiTheme="minorHAnsi" w:cstheme="minorHAnsi"/>
          <w:szCs w:val="28"/>
        </w:rPr>
      </w:pPr>
      <w:bookmarkStart w:id="3" w:name="_Toc162526806"/>
      <w:r w:rsidRPr="00771E87">
        <w:rPr>
          <w:rFonts w:asciiTheme="minorHAnsi" w:hAnsiTheme="minorHAnsi" w:cstheme="minorHAnsi"/>
          <w:szCs w:val="28"/>
        </w:rPr>
        <w:lastRenderedPageBreak/>
        <w:t>2. Ogólne zasady kwalifikowalności wydatków w przedsięwzięciach MŚP</w:t>
      </w:r>
      <w:bookmarkEnd w:id="3"/>
    </w:p>
    <w:p w14:paraId="6A4B9F56" w14:textId="79423872" w:rsidR="00D17E9A" w:rsidRPr="00771E87" w:rsidRDefault="00914D6F" w:rsidP="00E57A4B">
      <w:pPr>
        <w:pStyle w:val="NCBR2Nagowek"/>
        <w:spacing w:after="360"/>
        <w:rPr>
          <w:rFonts w:asciiTheme="minorHAnsi" w:hAnsiTheme="minorHAnsi" w:cstheme="minorHAnsi"/>
          <w:sz w:val="24"/>
          <w:szCs w:val="24"/>
        </w:rPr>
      </w:pPr>
      <w:bookmarkStart w:id="4" w:name="_Toc162526807"/>
      <w:r w:rsidRPr="00771E87">
        <w:rPr>
          <w:rFonts w:asciiTheme="minorHAnsi" w:hAnsiTheme="minorHAnsi" w:cstheme="minorHAnsi"/>
          <w:sz w:val="24"/>
          <w:szCs w:val="24"/>
        </w:rPr>
        <w:t>2.1 Okres kwalifikowalności</w:t>
      </w:r>
      <w:r w:rsidR="00F2389A" w:rsidRPr="00771E87">
        <w:rPr>
          <w:rFonts w:asciiTheme="minorHAnsi" w:hAnsiTheme="minorHAnsi" w:cstheme="minorHAnsi"/>
          <w:sz w:val="24"/>
          <w:szCs w:val="24"/>
        </w:rPr>
        <w:t xml:space="preserve"> wydatków MŚP</w:t>
      </w:r>
      <w:bookmarkEnd w:id="4"/>
    </w:p>
    <w:p w14:paraId="1FE19EEF" w14:textId="5E9187B5" w:rsidR="00D208EE" w:rsidRPr="00771E87" w:rsidRDefault="7C52C566" w:rsidP="00451844">
      <w:pPr>
        <w:spacing w:after="0" w:line="360" w:lineRule="auto"/>
        <w:rPr>
          <w:rFonts w:cstheme="minorHAnsi"/>
          <w:sz w:val="24"/>
          <w:szCs w:val="24"/>
        </w:rPr>
      </w:pPr>
      <w:r w:rsidRPr="00771E87">
        <w:rPr>
          <w:rFonts w:cstheme="minorHAnsi"/>
          <w:sz w:val="24"/>
          <w:szCs w:val="24"/>
        </w:rPr>
        <w:t>Wydatki MŚP mogą być uznane za kwalifikowalne</w:t>
      </w:r>
      <w:r w:rsidR="124756C5" w:rsidRPr="00771E87">
        <w:rPr>
          <w:rFonts w:cstheme="minorHAnsi"/>
          <w:sz w:val="24"/>
          <w:szCs w:val="24"/>
        </w:rPr>
        <w:t>,</w:t>
      </w:r>
      <w:r w:rsidRPr="00771E87">
        <w:rPr>
          <w:rFonts w:cstheme="minorHAnsi"/>
          <w:sz w:val="24"/>
          <w:szCs w:val="24"/>
        </w:rPr>
        <w:t xml:space="preserve"> jeżeli zostały poniesione w okresie, który został wskazany dla danego przedsięwzięcia </w:t>
      </w:r>
      <w:r w:rsidR="3E8F3608" w:rsidRPr="00771E87">
        <w:rPr>
          <w:rFonts w:cstheme="minorHAnsi"/>
          <w:sz w:val="24"/>
          <w:szCs w:val="24"/>
        </w:rPr>
        <w:t xml:space="preserve">MŚP </w:t>
      </w:r>
      <w:r w:rsidRPr="00771E87">
        <w:rPr>
          <w:rFonts w:cstheme="minorHAnsi"/>
          <w:sz w:val="24"/>
          <w:szCs w:val="24"/>
        </w:rPr>
        <w:t xml:space="preserve">w umowie </w:t>
      </w:r>
      <w:r w:rsidR="342A4E20" w:rsidRPr="00771E87">
        <w:rPr>
          <w:rFonts w:cstheme="minorHAnsi"/>
          <w:sz w:val="24"/>
          <w:szCs w:val="24"/>
        </w:rPr>
        <w:t xml:space="preserve">o objęcie przedsięwzięcia MŚP wsparciem </w:t>
      </w:r>
      <w:r w:rsidR="0BCCF91B" w:rsidRPr="00771E87">
        <w:rPr>
          <w:rFonts w:cstheme="minorHAnsi"/>
          <w:sz w:val="24"/>
          <w:szCs w:val="24"/>
        </w:rPr>
        <w:t xml:space="preserve">w </w:t>
      </w:r>
      <w:r w:rsidR="002C1571" w:rsidRPr="00771E87">
        <w:rPr>
          <w:rFonts w:cstheme="minorHAnsi"/>
          <w:sz w:val="24"/>
          <w:szCs w:val="24"/>
        </w:rPr>
        <w:t> </w:t>
      </w:r>
      <w:r w:rsidR="0BCCF91B" w:rsidRPr="00771E87">
        <w:rPr>
          <w:rFonts w:cstheme="minorHAnsi"/>
          <w:sz w:val="24"/>
          <w:szCs w:val="24"/>
        </w:rPr>
        <w:t>ramach</w:t>
      </w:r>
      <w:r w:rsidR="342A4E20" w:rsidRPr="00771E87">
        <w:rPr>
          <w:rFonts w:cstheme="minorHAnsi"/>
          <w:sz w:val="24"/>
          <w:szCs w:val="24"/>
        </w:rPr>
        <w:t xml:space="preserve"> planu rozwojowego. </w:t>
      </w:r>
      <w:r w:rsidRPr="00771E87">
        <w:rPr>
          <w:rFonts w:cstheme="minorHAnsi"/>
          <w:sz w:val="24"/>
          <w:szCs w:val="24"/>
        </w:rPr>
        <w:t>Wydatki</w:t>
      </w:r>
      <w:r w:rsidR="342A4E20" w:rsidRPr="00771E87">
        <w:rPr>
          <w:rFonts w:cstheme="minorHAnsi"/>
          <w:sz w:val="24"/>
          <w:szCs w:val="24"/>
        </w:rPr>
        <w:t xml:space="preserve"> </w:t>
      </w:r>
      <w:r w:rsidRPr="00771E87">
        <w:rPr>
          <w:rFonts w:cstheme="minorHAnsi"/>
          <w:sz w:val="24"/>
          <w:szCs w:val="24"/>
        </w:rPr>
        <w:t xml:space="preserve">MŚP </w:t>
      </w:r>
      <w:r w:rsidR="342A4E20" w:rsidRPr="00771E87">
        <w:rPr>
          <w:rFonts w:cstheme="minorHAnsi"/>
          <w:sz w:val="24"/>
          <w:szCs w:val="24"/>
        </w:rPr>
        <w:t>poniesione poza okresem</w:t>
      </w:r>
      <w:r w:rsidRPr="00771E87">
        <w:rPr>
          <w:rFonts w:cstheme="minorHAnsi"/>
          <w:sz w:val="24"/>
          <w:szCs w:val="24"/>
        </w:rPr>
        <w:t xml:space="preserve"> określonym w umowie</w:t>
      </w:r>
      <w:r w:rsidR="342A4E20" w:rsidRPr="00771E87">
        <w:rPr>
          <w:rFonts w:cstheme="minorHAnsi"/>
          <w:sz w:val="24"/>
          <w:szCs w:val="24"/>
        </w:rPr>
        <w:t xml:space="preserve"> </w:t>
      </w:r>
    </w:p>
    <w:p w14:paraId="4ED68B99" w14:textId="77777777" w:rsidR="00D16737" w:rsidRPr="00771E87" w:rsidRDefault="5D14FB93" w:rsidP="00451844">
      <w:pPr>
        <w:spacing w:after="0" w:line="360" w:lineRule="auto"/>
        <w:rPr>
          <w:rFonts w:cstheme="minorHAnsi"/>
          <w:sz w:val="24"/>
          <w:szCs w:val="24"/>
        </w:rPr>
      </w:pPr>
      <w:r w:rsidRPr="00771E87">
        <w:rPr>
          <w:rFonts w:cstheme="minorHAnsi"/>
          <w:sz w:val="24"/>
          <w:szCs w:val="24"/>
        </w:rPr>
        <w:t xml:space="preserve">o objęcie przedsięwzięcia MŚP wsparciem </w:t>
      </w:r>
      <w:r w:rsidR="342A4E20" w:rsidRPr="00771E87">
        <w:rPr>
          <w:rFonts w:cstheme="minorHAnsi"/>
          <w:sz w:val="24"/>
          <w:szCs w:val="24"/>
        </w:rPr>
        <w:t xml:space="preserve">nie podlegają rozliczeniu w ramach wsparcia </w:t>
      </w:r>
    </w:p>
    <w:p w14:paraId="49135A1D" w14:textId="29A8E143" w:rsidR="00914D6F" w:rsidRPr="00771E87" w:rsidRDefault="342A4E20" w:rsidP="00451844">
      <w:pPr>
        <w:spacing w:after="0" w:line="360" w:lineRule="auto"/>
        <w:rPr>
          <w:rFonts w:cstheme="minorHAnsi"/>
          <w:sz w:val="24"/>
          <w:szCs w:val="24"/>
        </w:rPr>
      </w:pPr>
      <w:r w:rsidRPr="00771E87">
        <w:rPr>
          <w:rFonts w:cstheme="minorHAnsi"/>
          <w:sz w:val="24"/>
          <w:szCs w:val="24"/>
        </w:rPr>
        <w:t>z Inwestycji A1.2.1 KPO.</w:t>
      </w:r>
    </w:p>
    <w:p w14:paraId="5DC7A63D" w14:textId="77777777" w:rsidR="00294A3F" w:rsidRPr="00771E87" w:rsidRDefault="00F2389A" w:rsidP="00451844">
      <w:pPr>
        <w:spacing w:after="0" w:line="360" w:lineRule="auto"/>
        <w:rPr>
          <w:rFonts w:cstheme="minorHAnsi"/>
          <w:sz w:val="24"/>
          <w:szCs w:val="24"/>
        </w:rPr>
      </w:pPr>
      <w:r w:rsidRPr="00771E87">
        <w:rPr>
          <w:rFonts w:cstheme="minorHAnsi"/>
          <w:sz w:val="24"/>
          <w:szCs w:val="24"/>
        </w:rPr>
        <w:t xml:space="preserve">Wsparcie przedsięwzięć MŚP udzielane jest w ramach pomocy de </w:t>
      </w:r>
      <w:proofErr w:type="spellStart"/>
      <w:r w:rsidRPr="00771E87">
        <w:rPr>
          <w:rFonts w:cstheme="minorHAnsi"/>
          <w:sz w:val="24"/>
          <w:szCs w:val="24"/>
        </w:rPr>
        <w:t>minimis</w:t>
      </w:r>
      <w:proofErr w:type="spellEnd"/>
      <w:r w:rsidRPr="00771E87">
        <w:rPr>
          <w:rFonts w:cstheme="minorHAnsi"/>
          <w:sz w:val="24"/>
          <w:szCs w:val="24"/>
        </w:rPr>
        <w:t xml:space="preserve">, co dodatkowo oznacza, iż nie są kwalifikowalne żadne wydatki poniesione przez MŚP przed dniem lub w dniu złożenia wniosku o objęcie </w:t>
      </w:r>
      <w:r w:rsidR="004F7868" w:rsidRPr="00771E87">
        <w:rPr>
          <w:rFonts w:cstheme="minorHAnsi"/>
          <w:sz w:val="24"/>
          <w:szCs w:val="24"/>
        </w:rPr>
        <w:t xml:space="preserve">przedsięwzięcia MŚP wsparciem. </w:t>
      </w:r>
    </w:p>
    <w:p w14:paraId="6144B071" w14:textId="70CE12B6" w:rsidR="00D208EE" w:rsidRPr="00771E87" w:rsidRDefault="561818E1" w:rsidP="00451844">
      <w:pPr>
        <w:spacing w:after="0" w:line="360" w:lineRule="auto"/>
        <w:rPr>
          <w:rFonts w:cstheme="minorHAnsi"/>
          <w:sz w:val="24"/>
          <w:szCs w:val="24"/>
        </w:rPr>
      </w:pPr>
      <w:r w:rsidRPr="00771E87">
        <w:rPr>
          <w:rFonts w:cstheme="minorHAnsi"/>
          <w:sz w:val="24"/>
          <w:szCs w:val="24"/>
        </w:rPr>
        <w:t xml:space="preserve">Pomoc de </w:t>
      </w:r>
      <w:proofErr w:type="spellStart"/>
      <w:r w:rsidRPr="00771E87">
        <w:rPr>
          <w:rFonts w:cstheme="minorHAnsi"/>
          <w:sz w:val="24"/>
          <w:szCs w:val="24"/>
        </w:rPr>
        <w:t>minimis</w:t>
      </w:r>
      <w:proofErr w:type="spellEnd"/>
      <w:r w:rsidR="05CC5EE5" w:rsidRPr="00771E87">
        <w:rPr>
          <w:rFonts w:cstheme="minorHAnsi"/>
          <w:sz w:val="24"/>
          <w:szCs w:val="24"/>
        </w:rPr>
        <w:t xml:space="preserve"> może być udzielona MŚP pod warunkiem, że łącznie </w:t>
      </w:r>
      <w:r w:rsidRPr="00771E87">
        <w:rPr>
          <w:rFonts w:cstheme="minorHAnsi"/>
          <w:sz w:val="24"/>
          <w:szCs w:val="24"/>
        </w:rPr>
        <w:t xml:space="preserve">z inną pomocą de </w:t>
      </w:r>
      <w:proofErr w:type="spellStart"/>
      <w:r w:rsidRPr="00771E87">
        <w:rPr>
          <w:rFonts w:cstheme="minorHAnsi"/>
          <w:sz w:val="24"/>
          <w:szCs w:val="24"/>
        </w:rPr>
        <w:t>minimis</w:t>
      </w:r>
      <w:proofErr w:type="spellEnd"/>
      <w:r w:rsidRPr="00771E87">
        <w:rPr>
          <w:rFonts w:cstheme="minorHAnsi"/>
          <w:sz w:val="24"/>
          <w:szCs w:val="24"/>
        </w:rPr>
        <w:t xml:space="preserve"> lub pomocą de </w:t>
      </w:r>
      <w:proofErr w:type="spellStart"/>
      <w:r w:rsidRPr="00771E87">
        <w:rPr>
          <w:rFonts w:cstheme="minorHAnsi"/>
          <w:sz w:val="24"/>
          <w:szCs w:val="24"/>
        </w:rPr>
        <w:t>minimis</w:t>
      </w:r>
      <w:proofErr w:type="spellEnd"/>
      <w:r w:rsidRPr="00771E87">
        <w:rPr>
          <w:rFonts w:cstheme="minorHAnsi"/>
          <w:sz w:val="24"/>
          <w:szCs w:val="24"/>
        </w:rPr>
        <w:t xml:space="preserve"> w rolnictwie i rybołówstwie, otrzymaną</w:t>
      </w:r>
      <w:r w:rsidR="53853DCA" w:rsidRPr="00771E87">
        <w:rPr>
          <w:rFonts w:cstheme="minorHAnsi"/>
          <w:sz w:val="24"/>
          <w:szCs w:val="24"/>
        </w:rPr>
        <w:t xml:space="preserve"> w danym okresie z różnych źróde</w:t>
      </w:r>
      <w:r w:rsidR="001C51DD" w:rsidRPr="00771E87">
        <w:rPr>
          <w:rFonts w:cstheme="minorHAnsi"/>
          <w:sz w:val="24"/>
          <w:szCs w:val="24"/>
        </w:rPr>
        <w:t>ł</w:t>
      </w:r>
    </w:p>
    <w:p w14:paraId="6B104353" w14:textId="347632CB" w:rsidR="00ED086F" w:rsidRPr="005D2133" w:rsidRDefault="71BF0493" w:rsidP="302726D1">
      <w:pPr>
        <w:spacing w:after="0" w:line="360" w:lineRule="auto"/>
        <w:rPr>
          <w:sz w:val="24"/>
          <w:szCs w:val="24"/>
        </w:rPr>
      </w:pPr>
      <w:r w:rsidRPr="005D2133">
        <w:rPr>
          <w:sz w:val="24"/>
          <w:szCs w:val="24"/>
        </w:rPr>
        <w:t xml:space="preserve">i w różnych </w:t>
      </w:r>
      <w:r w:rsidR="392A3005" w:rsidRPr="005D2133">
        <w:rPr>
          <w:sz w:val="24"/>
          <w:szCs w:val="24"/>
        </w:rPr>
        <w:t xml:space="preserve">formach, nie przekroczy kwoty </w:t>
      </w:r>
      <w:r w:rsidR="327C46E0" w:rsidRPr="005D2133">
        <w:rPr>
          <w:sz w:val="24"/>
          <w:szCs w:val="24"/>
        </w:rPr>
        <w:t xml:space="preserve"> 300 </w:t>
      </w:r>
      <w:r w:rsidR="007767E8" w:rsidRPr="005D2133">
        <w:rPr>
          <w:sz w:val="24"/>
          <w:szCs w:val="24"/>
        </w:rPr>
        <w:t xml:space="preserve">tys. </w:t>
      </w:r>
      <w:r w:rsidR="327C46E0" w:rsidRPr="005D2133">
        <w:rPr>
          <w:sz w:val="24"/>
          <w:szCs w:val="24"/>
        </w:rPr>
        <w:t>euro w okresie trzech lat, zgodnie z rozporządzeniem Komisji (UE) 2023/2831 z dnia 13 g</w:t>
      </w:r>
      <w:r w:rsidR="35244363" w:rsidRPr="005D2133">
        <w:rPr>
          <w:sz w:val="24"/>
          <w:szCs w:val="24"/>
        </w:rPr>
        <w:t>rudnia 2023 r. w sprawie stosowania art. 107 i</w:t>
      </w:r>
      <w:r w:rsidR="005D2133">
        <w:rPr>
          <w:sz w:val="24"/>
          <w:szCs w:val="24"/>
        </w:rPr>
        <w:t> </w:t>
      </w:r>
      <w:r w:rsidR="35244363" w:rsidRPr="005D2133">
        <w:rPr>
          <w:sz w:val="24"/>
          <w:szCs w:val="24"/>
        </w:rPr>
        <w:t xml:space="preserve">108 Traktatu o funkcjonowaniu Unii Europejskiej do pomocy </w:t>
      </w:r>
      <w:r w:rsidR="35244363" w:rsidRPr="005D2133">
        <w:rPr>
          <w:i/>
          <w:iCs/>
          <w:sz w:val="24"/>
          <w:szCs w:val="24"/>
        </w:rPr>
        <w:t xml:space="preserve">de </w:t>
      </w:r>
      <w:proofErr w:type="spellStart"/>
      <w:r w:rsidR="35244363" w:rsidRPr="005D2133">
        <w:rPr>
          <w:i/>
          <w:iCs/>
          <w:sz w:val="24"/>
          <w:szCs w:val="24"/>
        </w:rPr>
        <w:t>minimis</w:t>
      </w:r>
      <w:proofErr w:type="spellEnd"/>
      <w:r w:rsidR="35244363" w:rsidRPr="005D2133">
        <w:rPr>
          <w:i/>
          <w:iCs/>
          <w:sz w:val="24"/>
          <w:szCs w:val="24"/>
        </w:rPr>
        <w:t xml:space="preserve">. </w:t>
      </w:r>
      <w:r w:rsidR="392A3005" w:rsidRPr="005D2133">
        <w:rPr>
          <w:sz w:val="24"/>
          <w:szCs w:val="24"/>
        </w:rPr>
        <w:t xml:space="preserve">Do celów ustalenia dopuszczalnego pułapu pomocy de </w:t>
      </w:r>
      <w:proofErr w:type="spellStart"/>
      <w:r w:rsidR="392A3005" w:rsidRPr="005D2133">
        <w:rPr>
          <w:sz w:val="24"/>
          <w:szCs w:val="24"/>
        </w:rPr>
        <w:t>minimis</w:t>
      </w:r>
      <w:proofErr w:type="spellEnd"/>
      <w:r w:rsidR="392A3005" w:rsidRPr="005D2133">
        <w:rPr>
          <w:sz w:val="24"/>
          <w:szCs w:val="24"/>
        </w:rPr>
        <w:t xml:space="preserve"> przez jednego przedsiębiorcę rozumie się jedno przedsiębiorstwo, </w:t>
      </w:r>
      <w:r w:rsidRPr="005D2133">
        <w:rPr>
          <w:sz w:val="24"/>
          <w:szCs w:val="24"/>
        </w:rPr>
        <w:t xml:space="preserve">w rozumieniu </w:t>
      </w:r>
      <w:r w:rsidR="4A913A68" w:rsidRPr="005D2133">
        <w:rPr>
          <w:sz w:val="24"/>
          <w:szCs w:val="24"/>
        </w:rPr>
        <w:t xml:space="preserve">art. 2 ust. 2 ww. rozporządzenia </w:t>
      </w:r>
      <w:r w:rsidR="3B0DD803" w:rsidRPr="005D2133">
        <w:rPr>
          <w:sz w:val="24"/>
          <w:szCs w:val="24"/>
        </w:rPr>
        <w:t>Komisji</w:t>
      </w:r>
      <w:r w:rsidR="00DE25CF" w:rsidRPr="005D2133">
        <w:rPr>
          <w:rStyle w:val="Odwoanieprzypisudolnego"/>
        </w:rPr>
        <w:footnoteReference w:id="2"/>
      </w:r>
      <w:r w:rsidR="005D2133">
        <w:rPr>
          <w:sz w:val="24"/>
          <w:szCs w:val="24"/>
        </w:rPr>
        <w:t>.</w:t>
      </w:r>
      <w:r w:rsidRPr="005D2133">
        <w:rPr>
          <w:rStyle w:val="Odwoanieprzypisudolnego"/>
        </w:rPr>
        <w:t xml:space="preserve"> </w:t>
      </w:r>
    </w:p>
    <w:p w14:paraId="119EC9DD" w14:textId="77777777" w:rsidR="00D208EE" w:rsidRPr="00771E87" w:rsidRDefault="70B5DB25" w:rsidP="00451844">
      <w:pPr>
        <w:spacing w:after="0" w:line="360" w:lineRule="auto"/>
        <w:rPr>
          <w:rFonts w:cstheme="minorHAnsi"/>
          <w:sz w:val="24"/>
          <w:szCs w:val="24"/>
        </w:rPr>
      </w:pPr>
      <w:r w:rsidRPr="00771E87">
        <w:rPr>
          <w:rFonts w:cstheme="minorHAnsi"/>
          <w:sz w:val="24"/>
          <w:szCs w:val="24"/>
        </w:rPr>
        <w:t xml:space="preserve">W przypadku gdy MŚP ma wątpliwość co do wysokości przysługującego mu limitu pomocy </w:t>
      </w:r>
    </w:p>
    <w:p w14:paraId="2D7C0CFD" w14:textId="164AE9BE" w:rsidR="00CF6E42" w:rsidRPr="00771E87" w:rsidRDefault="70B5DB25" w:rsidP="00E57A4B">
      <w:pPr>
        <w:spacing w:after="480" w:line="360" w:lineRule="auto"/>
        <w:rPr>
          <w:rFonts w:cstheme="minorHAnsi"/>
          <w:sz w:val="24"/>
          <w:szCs w:val="24"/>
        </w:rPr>
      </w:pPr>
      <w:r w:rsidRPr="00771E87">
        <w:rPr>
          <w:rFonts w:cstheme="minorHAnsi"/>
          <w:sz w:val="24"/>
          <w:szCs w:val="24"/>
        </w:rPr>
        <w:t xml:space="preserve">de </w:t>
      </w:r>
      <w:proofErr w:type="spellStart"/>
      <w:r w:rsidRPr="00771E87">
        <w:rPr>
          <w:rFonts w:cstheme="minorHAnsi"/>
          <w:sz w:val="24"/>
          <w:szCs w:val="24"/>
        </w:rPr>
        <w:t>minimis</w:t>
      </w:r>
      <w:proofErr w:type="spellEnd"/>
      <w:r w:rsidR="065A38AA" w:rsidRPr="00771E87">
        <w:rPr>
          <w:rFonts w:cstheme="minorHAnsi"/>
          <w:sz w:val="24"/>
          <w:szCs w:val="24"/>
        </w:rPr>
        <w:t>,</w:t>
      </w:r>
      <w:r w:rsidRPr="00771E87">
        <w:rPr>
          <w:rFonts w:cstheme="minorHAnsi"/>
          <w:sz w:val="24"/>
          <w:szCs w:val="24"/>
        </w:rPr>
        <w:t xml:space="preserve"> to wysokość otrzymanej pomocy de </w:t>
      </w:r>
      <w:proofErr w:type="spellStart"/>
      <w:r w:rsidRPr="00771E87">
        <w:rPr>
          <w:rFonts w:cstheme="minorHAnsi"/>
          <w:sz w:val="24"/>
          <w:szCs w:val="24"/>
        </w:rPr>
        <w:t>minimis</w:t>
      </w:r>
      <w:proofErr w:type="spellEnd"/>
      <w:r w:rsidRPr="00771E87">
        <w:rPr>
          <w:rFonts w:cstheme="minorHAnsi"/>
          <w:sz w:val="24"/>
          <w:szCs w:val="24"/>
        </w:rPr>
        <w:t xml:space="preserve"> może zweryfikować w Urzędzie Ochrony Konkurencji i Konsumentów: </w:t>
      </w:r>
      <w:r w:rsidRPr="00771E87">
        <w:rPr>
          <w:rFonts w:cstheme="minorHAnsi"/>
        </w:rPr>
        <w:t>https://uokik.gov.pl zakładka POMOC PUBLICZNA / SPRAWOZDAWCZOŚĆ / DANE O UDZIELONEJ POMOCY-SUDOP.</w:t>
      </w:r>
    </w:p>
    <w:p w14:paraId="339F3E6F" w14:textId="0AAD19D9" w:rsidR="00CF6E42" w:rsidRPr="00771E87" w:rsidRDefault="00DD53E5" w:rsidP="00E57A4B">
      <w:pPr>
        <w:pStyle w:val="NCBR2Nagowek"/>
        <w:spacing w:after="360"/>
        <w:rPr>
          <w:rFonts w:asciiTheme="minorHAnsi" w:hAnsiTheme="minorHAnsi" w:cstheme="minorHAnsi"/>
          <w:sz w:val="24"/>
          <w:szCs w:val="24"/>
        </w:rPr>
      </w:pPr>
      <w:bookmarkStart w:id="5" w:name="_Toc162526808"/>
      <w:r w:rsidRPr="00771E87">
        <w:rPr>
          <w:rFonts w:asciiTheme="minorHAnsi" w:hAnsiTheme="minorHAnsi" w:cstheme="minorHAnsi"/>
          <w:sz w:val="24"/>
          <w:szCs w:val="24"/>
        </w:rPr>
        <w:lastRenderedPageBreak/>
        <w:t>2.2 Limit wsparcia przedsięwzięć MŚP.</w:t>
      </w:r>
      <w:bookmarkEnd w:id="5"/>
    </w:p>
    <w:p w14:paraId="39F6213D" w14:textId="091D44E5" w:rsidR="4F9511FF" w:rsidRPr="00C952E6" w:rsidRDefault="26A94542" w:rsidP="302726D1">
      <w:pPr>
        <w:spacing w:line="360" w:lineRule="auto"/>
        <w:rPr>
          <w:sz w:val="24"/>
          <w:szCs w:val="24"/>
        </w:rPr>
      </w:pPr>
      <w:r w:rsidRPr="00C952E6">
        <w:rPr>
          <w:sz w:val="24"/>
          <w:szCs w:val="24"/>
        </w:rPr>
        <w:t>Maksymalna wartość kosztów kwalifikowalnych obejmujących kwotę wsparcia i wkład własny wynosi 600 tys. zł (słownie: sześćset tysięcy złotych).</w:t>
      </w:r>
    </w:p>
    <w:p w14:paraId="651B2FC8" w14:textId="122659E6" w:rsidR="00ED0C78" w:rsidRPr="00C952E6" w:rsidRDefault="351AE5D2" w:rsidP="302726D1">
      <w:pPr>
        <w:spacing w:line="360" w:lineRule="auto"/>
        <w:rPr>
          <w:sz w:val="24"/>
          <w:szCs w:val="24"/>
        </w:rPr>
      </w:pPr>
      <w:r w:rsidRPr="00C952E6">
        <w:rPr>
          <w:sz w:val="24"/>
          <w:szCs w:val="24"/>
        </w:rPr>
        <w:t>Kwota</w:t>
      </w:r>
      <w:r w:rsidR="7D805ED4" w:rsidRPr="00C952E6">
        <w:rPr>
          <w:sz w:val="24"/>
          <w:szCs w:val="24"/>
        </w:rPr>
        <w:t xml:space="preserve"> wsparcia na jedno przedsięwzięcie MŚP wynosi</w:t>
      </w:r>
      <w:r w:rsidRPr="00C952E6">
        <w:rPr>
          <w:sz w:val="24"/>
          <w:szCs w:val="24"/>
        </w:rPr>
        <w:t>:</w:t>
      </w:r>
      <w:r w:rsidR="00F4051B">
        <w:br/>
      </w:r>
      <w:r w:rsidRPr="00C952E6">
        <w:rPr>
          <w:sz w:val="24"/>
          <w:szCs w:val="24"/>
        </w:rPr>
        <w:t>-minimalna: 50 tys. zł</w:t>
      </w:r>
      <w:r w:rsidR="7D805ED4" w:rsidRPr="00C952E6">
        <w:rPr>
          <w:sz w:val="24"/>
          <w:szCs w:val="24"/>
        </w:rPr>
        <w:t xml:space="preserve"> (słownie: pięćdziesiąt tysięcy złotych)</w:t>
      </w:r>
      <w:r w:rsidRPr="00C952E6">
        <w:rPr>
          <w:sz w:val="24"/>
          <w:szCs w:val="24"/>
        </w:rPr>
        <w:t>,</w:t>
      </w:r>
      <w:r w:rsidR="00F4051B">
        <w:br/>
      </w:r>
      <w:r w:rsidRPr="00C952E6">
        <w:rPr>
          <w:sz w:val="24"/>
          <w:szCs w:val="24"/>
        </w:rPr>
        <w:t xml:space="preserve">-maksymalna: 540 tys. </w:t>
      </w:r>
      <w:r w:rsidR="7D805ED4" w:rsidRPr="00C952E6">
        <w:rPr>
          <w:sz w:val="24"/>
          <w:szCs w:val="24"/>
        </w:rPr>
        <w:t>zł (słownie</w:t>
      </w:r>
      <w:r w:rsidR="50EBE731" w:rsidRPr="00C952E6">
        <w:rPr>
          <w:sz w:val="24"/>
          <w:szCs w:val="24"/>
        </w:rPr>
        <w:t>:</w:t>
      </w:r>
      <w:r w:rsidR="7D805ED4" w:rsidRPr="00C952E6">
        <w:rPr>
          <w:sz w:val="24"/>
          <w:szCs w:val="24"/>
        </w:rPr>
        <w:t xml:space="preserve"> pięćset czterdzieści tysięcy złotych)</w:t>
      </w:r>
      <w:r w:rsidRPr="00C952E6">
        <w:rPr>
          <w:sz w:val="24"/>
          <w:szCs w:val="24"/>
        </w:rPr>
        <w:t>.</w:t>
      </w:r>
    </w:p>
    <w:p w14:paraId="2BA8FD73" w14:textId="5B2FA886" w:rsidR="00B43B8D" w:rsidRPr="00771E87" w:rsidRDefault="461B7784" w:rsidP="00C3305A">
      <w:pPr>
        <w:spacing w:after="480" w:line="360" w:lineRule="auto"/>
        <w:rPr>
          <w:rFonts w:cstheme="minorHAnsi"/>
          <w:i/>
          <w:iCs/>
          <w:sz w:val="24"/>
          <w:szCs w:val="24"/>
        </w:rPr>
      </w:pPr>
      <w:r w:rsidRPr="00771E87">
        <w:rPr>
          <w:rFonts w:cstheme="minorHAnsi"/>
          <w:sz w:val="24"/>
          <w:szCs w:val="24"/>
        </w:rPr>
        <w:t>MŚP jest zobowiązane do zapewnienia co najmniej 10% udziału w wydatkach kwalifikowalnych</w:t>
      </w:r>
      <w:r w:rsidR="60E2C3A6" w:rsidRPr="00771E87">
        <w:rPr>
          <w:rFonts w:cstheme="minorHAnsi"/>
          <w:sz w:val="24"/>
          <w:szCs w:val="24"/>
        </w:rPr>
        <w:t>.</w:t>
      </w:r>
      <w:r w:rsidR="004123D3" w:rsidRPr="00771E87">
        <w:rPr>
          <w:rFonts w:cstheme="minorHAnsi"/>
          <w:sz w:val="24"/>
          <w:szCs w:val="24"/>
        </w:rPr>
        <w:t xml:space="preserve"> </w:t>
      </w:r>
      <w:r w:rsidR="01120ACC" w:rsidRPr="00771E87">
        <w:rPr>
          <w:rFonts w:cstheme="minorHAnsi"/>
          <w:sz w:val="24"/>
          <w:szCs w:val="24"/>
        </w:rPr>
        <w:t xml:space="preserve">MŚP </w:t>
      </w:r>
      <w:r w:rsidR="0B2930EE" w:rsidRPr="00771E87">
        <w:rPr>
          <w:rFonts w:cstheme="minorHAnsi"/>
          <w:sz w:val="24"/>
          <w:szCs w:val="24"/>
        </w:rPr>
        <w:t>otrzymuje</w:t>
      </w:r>
      <w:r w:rsidR="01120ACC" w:rsidRPr="00771E87">
        <w:rPr>
          <w:rFonts w:cstheme="minorHAnsi"/>
          <w:sz w:val="24"/>
          <w:szCs w:val="24"/>
        </w:rPr>
        <w:t xml:space="preserve"> wsparcie</w:t>
      </w:r>
      <w:r w:rsidR="6AD6B559" w:rsidRPr="00771E87">
        <w:rPr>
          <w:rFonts w:cstheme="minorHAnsi"/>
          <w:sz w:val="24"/>
          <w:szCs w:val="24"/>
        </w:rPr>
        <w:t xml:space="preserve"> na podstawie zatwierdzonego </w:t>
      </w:r>
      <w:r w:rsidR="0F6A7296" w:rsidRPr="00771E87">
        <w:rPr>
          <w:rFonts w:cstheme="minorHAnsi"/>
          <w:sz w:val="24"/>
          <w:szCs w:val="24"/>
        </w:rPr>
        <w:t xml:space="preserve">przez Operatora </w:t>
      </w:r>
      <w:r w:rsidR="6AD6B559" w:rsidRPr="00771E87">
        <w:rPr>
          <w:rFonts w:cstheme="minorHAnsi"/>
          <w:sz w:val="24"/>
          <w:szCs w:val="24"/>
        </w:rPr>
        <w:t>wniosku o płatność</w:t>
      </w:r>
      <w:r w:rsidR="01120ACC" w:rsidRPr="00771E87">
        <w:rPr>
          <w:rFonts w:cstheme="minorHAnsi"/>
          <w:sz w:val="24"/>
          <w:szCs w:val="24"/>
        </w:rPr>
        <w:t xml:space="preserve"> w</w:t>
      </w:r>
      <w:r w:rsidR="00F00B76">
        <w:rPr>
          <w:rFonts w:cstheme="minorHAnsi"/>
          <w:sz w:val="24"/>
          <w:szCs w:val="24"/>
        </w:rPr>
        <w:t> </w:t>
      </w:r>
      <w:r w:rsidR="01120ACC" w:rsidRPr="00771E87">
        <w:rPr>
          <w:rFonts w:cstheme="minorHAnsi"/>
          <w:sz w:val="24"/>
          <w:szCs w:val="24"/>
        </w:rPr>
        <w:t>formie</w:t>
      </w:r>
      <w:r w:rsidR="6AD6B559" w:rsidRPr="00771E87">
        <w:rPr>
          <w:rFonts w:cstheme="minorHAnsi"/>
          <w:sz w:val="24"/>
          <w:szCs w:val="24"/>
        </w:rPr>
        <w:t xml:space="preserve"> </w:t>
      </w:r>
      <w:r w:rsidR="01120ACC" w:rsidRPr="00771E87">
        <w:rPr>
          <w:rFonts w:cstheme="minorHAnsi"/>
          <w:sz w:val="24"/>
          <w:szCs w:val="24"/>
        </w:rPr>
        <w:t xml:space="preserve">refundacji części poniesionych wydatków kwalifikowalnych do wysokości </w:t>
      </w:r>
      <w:r w:rsidR="4D1488BE" w:rsidRPr="00771E87">
        <w:rPr>
          <w:rFonts w:cstheme="minorHAnsi"/>
          <w:sz w:val="24"/>
          <w:szCs w:val="24"/>
        </w:rPr>
        <w:t>poziomu</w:t>
      </w:r>
      <w:r w:rsidR="01120ACC" w:rsidRPr="00771E87">
        <w:rPr>
          <w:rFonts w:cstheme="minorHAnsi"/>
          <w:sz w:val="24"/>
          <w:szCs w:val="24"/>
        </w:rPr>
        <w:t xml:space="preserve"> wsparcia przedsięwzięcia </w:t>
      </w:r>
      <w:r w:rsidR="68DF4DD2" w:rsidRPr="00771E87">
        <w:rPr>
          <w:rFonts w:cstheme="minorHAnsi"/>
          <w:sz w:val="24"/>
          <w:szCs w:val="24"/>
        </w:rPr>
        <w:t xml:space="preserve">MŚP </w:t>
      </w:r>
      <w:r w:rsidR="01120ACC" w:rsidRPr="00771E87">
        <w:rPr>
          <w:rFonts w:cstheme="minorHAnsi"/>
          <w:sz w:val="24"/>
          <w:szCs w:val="24"/>
        </w:rPr>
        <w:t>określonego w umowie</w:t>
      </w:r>
      <w:r w:rsidR="178978BA" w:rsidRPr="00771E87">
        <w:rPr>
          <w:rFonts w:cstheme="minorHAnsi"/>
          <w:sz w:val="24"/>
          <w:szCs w:val="24"/>
        </w:rPr>
        <w:t xml:space="preserve"> o objęcie przedsięwzięcia MŚP wsparciem</w:t>
      </w:r>
      <w:r w:rsidR="01120ACC" w:rsidRPr="00771E87">
        <w:rPr>
          <w:rFonts w:cstheme="minorHAnsi"/>
          <w:sz w:val="24"/>
          <w:szCs w:val="24"/>
        </w:rPr>
        <w:t>, któr</w:t>
      </w:r>
      <w:r w:rsidR="475728BA" w:rsidRPr="00771E87">
        <w:rPr>
          <w:rFonts w:cstheme="minorHAnsi"/>
          <w:sz w:val="24"/>
          <w:szCs w:val="24"/>
        </w:rPr>
        <w:t>y</w:t>
      </w:r>
      <w:r w:rsidR="01120ACC" w:rsidRPr="00771E87">
        <w:rPr>
          <w:rFonts w:cstheme="minorHAnsi"/>
          <w:sz w:val="24"/>
          <w:szCs w:val="24"/>
        </w:rPr>
        <w:t xml:space="preserve"> nie może być wyższ</w:t>
      </w:r>
      <w:r w:rsidR="3D242B25" w:rsidRPr="00771E87">
        <w:rPr>
          <w:rFonts w:cstheme="minorHAnsi"/>
          <w:sz w:val="24"/>
          <w:szCs w:val="24"/>
        </w:rPr>
        <w:t>y</w:t>
      </w:r>
      <w:r w:rsidR="01120ACC" w:rsidRPr="00771E87">
        <w:rPr>
          <w:rFonts w:cstheme="minorHAnsi"/>
          <w:sz w:val="24"/>
          <w:szCs w:val="24"/>
        </w:rPr>
        <w:t xml:space="preserve"> niż 90%</w:t>
      </w:r>
      <w:r w:rsidR="0B1B23EB" w:rsidRPr="00771E87">
        <w:rPr>
          <w:rFonts w:cstheme="minorHAnsi"/>
          <w:sz w:val="24"/>
          <w:szCs w:val="24"/>
        </w:rPr>
        <w:t xml:space="preserve"> kwoty wydatków kwalifikowalnych</w:t>
      </w:r>
      <w:r w:rsidR="6AD6B559" w:rsidRPr="00771E87">
        <w:rPr>
          <w:rFonts w:cstheme="minorHAnsi"/>
          <w:sz w:val="24"/>
          <w:szCs w:val="24"/>
        </w:rPr>
        <w:t>.</w:t>
      </w:r>
    </w:p>
    <w:p w14:paraId="7BAD854F" w14:textId="57A19FB9" w:rsidR="00CF6E42" w:rsidRPr="00771E87" w:rsidRDefault="005A01FD" w:rsidP="00E57A4B">
      <w:pPr>
        <w:pStyle w:val="NCBR2Nagowek"/>
        <w:spacing w:after="360"/>
        <w:rPr>
          <w:rFonts w:asciiTheme="minorHAnsi" w:hAnsiTheme="minorHAnsi" w:cstheme="minorHAnsi"/>
          <w:sz w:val="24"/>
          <w:szCs w:val="24"/>
        </w:rPr>
      </w:pPr>
      <w:bookmarkStart w:id="6" w:name="_Toc162526809"/>
      <w:r w:rsidRPr="00771E87">
        <w:rPr>
          <w:rFonts w:asciiTheme="minorHAnsi" w:hAnsiTheme="minorHAnsi" w:cstheme="minorHAnsi"/>
          <w:sz w:val="24"/>
          <w:szCs w:val="24"/>
        </w:rPr>
        <w:t>2.3 Wkład własny w ramach przedsięwzięcia</w:t>
      </w:r>
      <w:r w:rsidR="00114ABF" w:rsidRPr="00771E87">
        <w:rPr>
          <w:rFonts w:asciiTheme="minorHAnsi" w:hAnsiTheme="minorHAnsi" w:cstheme="minorHAnsi"/>
          <w:sz w:val="24"/>
          <w:szCs w:val="24"/>
        </w:rPr>
        <w:t xml:space="preserve"> MŚ</w:t>
      </w:r>
      <w:r w:rsidR="008F3A56" w:rsidRPr="00771E87">
        <w:rPr>
          <w:rFonts w:asciiTheme="minorHAnsi" w:hAnsiTheme="minorHAnsi" w:cstheme="minorHAnsi"/>
          <w:sz w:val="24"/>
          <w:szCs w:val="24"/>
        </w:rPr>
        <w:t>P</w:t>
      </w:r>
      <w:bookmarkEnd w:id="6"/>
    </w:p>
    <w:p w14:paraId="41915CD0" w14:textId="5FE6FFD6" w:rsidR="009C64A9" w:rsidRPr="00771E87" w:rsidRDefault="64D8316B" w:rsidP="0FD956A3">
      <w:pPr>
        <w:keepLines/>
        <w:widowControl w:val="0"/>
        <w:spacing w:after="120" w:line="360" w:lineRule="auto"/>
        <w:rPr>
          <w:rFonts w:cstheme="minorHAnsi"/>
          <w:sz w:val="24"/>
          <w:szCs w:val="24"/>
        </w:rPr>
      </w:pPr>
      <w:r w:rsidRPr="302726D1">
        <w:rPr>
          <w:sz w:val="24"/>
          <w:szCs w:val="24"/>
        </w:rPr>
        <w:t>Minimalny wkład własny MŚP w ramach wydatków kwalifikowalnych przedsięwzięcia MŚP wynosi 10%</w:t>
      </w:r>
      <w:r w:rsidR="7B6FE54A" w:rsidRPr="302726D1">
        <w:rPr>
          <w:sz w:val="24"/>
          <w:szCs w:val="24"/>
        </w:rPr>
        <w:t>.</w:t>
      </w:r>
      <w:r w:rsidR="008F3A56" w:rsidRPr="302726D1">
        <w:rPr>
          <w:rStyle w:val="Odwoanieprzypisudolnego"/>
          <w:sz w:val="24"/>
          <w:szCs w:val="24"/>
        </w:rPr>
        <w:footnoteReference w:id="3"/>
      </w:r>
      <w:r w:rsidR="7B6FE54A" w:rsidRPr="302726D1">
        <w:rPr>
          <w:sz w:val="24"/>
          <w:szCs w:val="24"/>
        </w:rPr>
        <w:t xml:space="preserve"> Jednakże MŚP we wniosku o wsparcie może zadeklarować wyższy poziom wkładu własnego, za co przyznawane są dodatkowe punkty</w:t>
      </w:r>
      <w:r w:rsidR="21D864F6" w:rsidRPr="302726D1">
        <w:rPr>
          <w:sz w:val="24"/>
          <w:szCs w:val="24"/>
        </w:rPr>
        <w:t xml:space="preserve"> na etapie oceny wniosku i wyboru przedsięwzięcia MŚP do wsparcia</w:t>
      </w:r>
      <w:r w:rsidR="7B6FE54A" w:rsidRPr="302726D1">
        <w:rPr>
          <w:sz w:val="24"/>
          <w:szCs w:val="24"/>
        </w:rPr>
        <w:t>.</w:t>
      </w:r>
    </w:p>
    <w:p w14:paraId="4EDB7CFD" w14:textId="305F2D27" w:rsidR="00DC62BC" w:rsidRPr="00771E87" w:rsidRDefault="009C64A9" w:rsidP="00DC62BC">
      <w:pPr>
        <w:keepLines/>
        <w:widowControl w:val="0"/>
        <w:spacing w:after="120" w:line="360" w:lineRule="auto"/>
        <w:rPr>
          <w:rFonts w:cstheme="minorHAnsi"/>
          <w:sz w:val="24"/>
          <w:szCs w:val="24"/>
        </w:rPr>
      </w:pPr>
      <w:r w:rsidRPr="00771E87">
        <w:rPr>
          <w:rFonts w:cstheme="minorHAnsi"/>
          <w:sz w:val="24"/>
          <w:szCs w:val="24"/>
        </w:rPr>
        <w:t>Ostateczna wysokość wkładu własnego w ramach przedsięwzięcia MŚP zostaje określona</w:t>
      </w:r>
      <w:r w:rsidR="002C1571" w:rsidRPr="00771E87">
        <w:rPr>
          <w:rFonts w:cstheme="minorHAnsi"/>
          <w:sz w:val="24"/>
          <w:szCs w:val="24"/>
        </w:rPr>
        <w:t xml:space="preserve"> </w:t>
      </w:r>
      <w:r w:rsidRPr="00771E87">
        <w:rPr>
          <w:rFonts w:cstheme="minorHAnsi"/>
          <w:sz w:val="24"/>
          <w:szCs w:val="24"/>
        </w:rPr>
        <w:t xml:space="preserve">w umowie o objęcie przedsięwzięcia MŚP wsparciem, na postawie wartości </w:t>
      </w:r>
      <w:r w:rsidR="00DC62BC" w:rsidRPr="00771E87">
        <w:rPr>
          <w:rFonts w:cstheme="minorHAnsi"/>
          <w:sz w:val="24"/>
          <w:szCs w:val="24"/>
        </w:rPr>
        <w:t>ustalonej</w:t>
      </w:r>
      <w:r w:rsidRPr="00771E87">
        <w:rPr>
          <w:rFonts w:cstheme="minorHAnsi"/>
          <w:sz w:val="24"/>
          <w:szCs w:val="24"/>
        </w:rPr>
        <w:t xml:space="preserve"> na etapie oceny wniosku</w:t>
      </w:r>
      <w:r w:rsidR="00DC62BC" w:rsidRPr="00771E87">
        <w:rPr>
          <w:rFonts w:cstheme="minorHAnsi"/>
          <w:sz w:val="24"/>
          <w:szCs w:val="24"/>
        </w:rPr>
        <w:t xml:space="preserve"> i wyboru przedsięwzięcia MŚP do wsparcia. Tak ustalona wysokość wkładu własnego nie może zostać obniżona na żadnym etapie realizacji przedsięwzięcia MŚP.</w:t>
      </w:r>
    </w:p>
    <w:p w14:paraId="0A1F2D32" w14:textId="15C84971" w:rsidR="00094D31" w:rsidRPr="00771E87" w:rsidRDefault="00094D31" w:rsidP="004B3A93">
      <w:pPr>
        <w:keepLines/>
        <w:widowControl w:val="0"/>
        <w:spacing w:after="120" w:line="360" w:lineRule="auto"/>
        <w:rPr>
          <w:rFonts w:cstheme="minorHAnsi"/>
          <w:sz w:val="24"/>
          <w:szCs w:val="24"/>
        </w:rPr>
      </w:pPr>
      <w:r w:rsidRPr="00771E87">
        <w:rPr>
          <w:rFonts w:cstheme="minorHAnsi"/>
          <w:sz w:val="24"/>
          <w:szCs w:val="24"/>
        </w:rPr>
        <w:t>Wkład własny może zostać wniesiony wyłącznie w formie pieniężnej (rozchód środków finansowych z rachunku lub kasy w trakcie trwania przedsięwzięcia MŚP</w:t>
      </w:r>
      <w:r w:rsidR="00A864CA" w:rsidRPr="00771E87">
        <w:rPr>
          <w:rFonts w:cstheme="minorHAnsi"/>
          <w:sz w:val="24"/>
          <w:szCs w:val="24"/>
        </w:rPr>
        <w:t>)</w:t>
      </w:r>
      <w:r w:rsidR="007947C5" w:rsidRPr="00771E87">
        <w:rPr>
          <w:rFonts w:cstheme="minorHAnsi"/>
          <w:sz w:val="24"/>
          <w:szCs w:val="24"/>
        </w:rPr>
        <w:t>, z zastrzeżeniem pkt. 2.7</w:t>
      </w:r>
      <w:r w:rsidRPr="00771E87">
        <w:rPr>
          <w:rFonts w:cstheme="minorHAnsi"/>
          <w:sz w:val="24"/>
          <w:szCs w:val="24"/>
        </w:rPr>
        <w:t>.</w:t>
      </w:r>
    </w:p>
    <w:p w14:paraId="622BEF59" w14:textId="6BCEB1E0" w:rsidR="00AF40A6" w:rsidRPr="00771E87" w:rsidRDefault="49F24B58" w:rsidP="002C1571">
      <w:pPr>
        <w:keepLines/>
        <w:widowControl w:val="0"/>
        <w:spacing w:after="480" w:line="360" w:lineRule="auto"/>
        <w:rPr>
          <w:rFonts w:cstheme="minorHAnsi"/>
          <w:sz w:val="24"/>
          <w:szCs w:val="24"/>
        </w:rPr>
      </w:pPr>
      <w:r w:rsidRPr="302726D1">
        <w:rPr>
          <w:sz w:val="24"/>
          <w:szCs w:val="24"/>
        </w:rPr>
        <w:lastRenderedPageBreak/>
        <w:t xml:space="preserve">Wkład własny MŚP nie może pochodzić ze środków unijnych </w:t>
      </w:r>
      <w:r w:rsidR="6114DFA0" w:rsidRPr="302726D1">
        <w:rPr>
          <w:sz w:val="24"/>
          <w:szCs w:val="24"/>
        </w:rPr>
        <w:t xml:space="preserve">otrzymanych przez MŚP </w:t>
      </w:r>
      <w:r w:rsidRPr="302726D1">
        <w:rPr>
          <w:sz w:val="24"/>
          <w:szCs w:val="24"/>
        </w:rPr>
        <w:t>zarówno w</w:t>
      </w:r>
      <w:r w:rsidR="00F00B76">
        <w:rPr>
          <w:sz w:val="24"/>
          <w:szCs w:val="24"/>
        </w:rPr>
        <w:t> </w:t>
      </w:r>
      <w:r w:rsidRPr="302726D1">
        <w:rPr>
          <w:sz w:val="24"/>
          <w:szCs w:val="24"/>
        </w:rPr>
        <w:t>formie bezzwrotnej (dotacja unijna)</w:t>
      </w:r>
      <w:r w:rsidR="094EE248" w:rsidRPr="302726D1">
        <w:rPr>
          <w:sz w:val="24"/>
          <w:szCs w:val="24"/>
        </w:rPr>
        <w:t>,</w:t>
      </w:r>
      <w:r w:rsidRPr="302726D1">
        <w:rPr>
          <w:sz w:val="24"/>
          <w:szCs w:val="24"/>
        </w:rPr>
        <w:t xml:space="preserve"> jak i zwrotnej (np. pożyczka unijna), a także z krajowych środków publicznych otrzymanych przez MŚP w formie bezzwrotnej (dotacja krajowa).</w:t>
      </w:r>
      <w:r w:rsidR="7748CAE8" w:rsidRPr="302726D1">
        <w:rPr>
          <w:sz w:val="24"/>
          <w:szCs w:val="24"/>
        </w:rPr>
        <w:t xml:space="preserve"> W takich przypadkach mamy</w:t>
      </w:r>
      <w:r w:rsidR="7919D67F" w:rsidRPr="302726D1">
        <w:rPr>
          <w:sz w:val="24"/>
          <w:szCs w:val="24"/>
        </w:rPr>
        <w:t xml:space="preserve"> </w:t>
      </w:r>
      <w:r w:rsidR="7748CAE8" w:rsidRPr="302726D1">
        <w:rPr>
          <w:sz w:val="24"/>
          <w:szCs w:val="24"/>
        </w:rPr>
        <w:t>do czynienia z podwójnym finansowaniem wydatków.</w:t>
      </w:r>
      <w:r w:rsidR="00094D31" w:rsidRPr="00771E87">
        <w:rPr>
          <w:rFonts w:cstheme="minorHAnsi"/>
        </w:rPr>
        <w:br/>
      </w:r>
      <w:r w:rsidRPr="302726D1">
        <w:rPr>
          <w:sz w:val="24"/>
          <w:szCs w:val="24"/>
        </w:rPr>
        <w:t>Wkład własny MŚP może natomiast zostać sfinansowany z</w:t>
      </w:r>
      <w:r w:rsidR="2EDB47B0" w:rsidRPr="302726D1">
        <w:rPr>
          <w:sz w:val="24"/>
          <w:szCs w:val="24"/>
        </w:rPr>
        <w:t>e środków własnych</w:t>
      </w:r>
      <w:r w:rsidR="6E8FB54C" w:rsidRPr="302726D1">
        <w:rPr>
          <w:sz w:val="24"/>
          <w:szCs w:val="24"/>
        </w:rPr>
        <w:t xml:space="preserve"> MŚP</w:t>
      </w:r>
      <w:r w:rsidR="2EDB47B0" w:rsidRPr="302726D1">
        <w:rPr>
          <w:sz w:val="24"/>
          <w:szCs w:val="24"/>
        </w:rPr>
        <w:t xml:space="preserve"> albo</w:t>
      </w:r>
      <w:r w:rsidRPr="302726D1">
        <w:rPr>
          <w:sz w:val="24"/>
          <w:szCs w:val="24"/>
        </w:rPr>
        <w:t xml:space="preserve"> środków prywatnych (np. kredyt bankowy)</w:t>
      </w:r>
      <w:r w:rsidR="210595AA" w:rsidRPr="302726D1">
        <w:rPr>
          <w:sz w:val="24"/>
          <w:szCs w:val="24"/>
        </w:rPr>
        <w:t>,</w:t>
      </w:r>
      <w:r w:rsidRPr="302726D1">
        <w:rPr>
          <w:sz w:val="24"/>
          <w:szCs w:val="24"/>
        </w:rPr>
        <w:t xml:space="preserve"> </w:t>
      </w:r>
      <w:r w:rsidR="2EDB47B0" w:rsidRPr="302726D1">
        <w:rPr>
          <w:sz w:val="24"/>
          <w:szCs w:val="24"/>
        </w:rPr>
        <w:t>albo</w:t>
      </w:r>
      <w:r w:rsidRPr="302726D1">
        <w:rPr>
          <w:sz w:val="24"/>
          <w:szCs w:val="24"/>
        </w:rPr>
        <w:t xml:space="preserve"> krajowych środków publicznych otrzymanych przez MŚP w</w:t>
      </w:r>
      <w:r w:rsidR="7748CAE8" w:rsidRPr="302726D1">
        <w:rPr>
          <w:sz w:val="24"/>
          <w:szCs w:val="24"/>
        </w:rPr>
        <w:t>yłącznie w</w:t>
      </w:r>
      <w:r w:rsidRPr="302726D1">
        <w:rPr>
          <w:sz w:val="24"/>
          <w:szCs w:val="24"/>
        </w:rPr>
        <w:t xml:space="preserve"> formie zwrotnej (np. pożyczka), pod warunkiem, że MŚP jest zobowiązan</w:t>
      </w:r>
      <w:r w:rsidR="0631A25B" w:rsidRPr="302726D1">
        <w:rPr>
          <w:sz w:val="24"/>
          <w:szCs w:val="24"/>
        </w:rPr>
        <w:t>e</w:t>
      </w:r>
      <w:r w:rsidRPr="302726D1">
        <w:rPr>
          <w:sz w:val="24"/>
          <w:szCs w:val="24"/>
        </w:rPr>
        <w:t xml:space="preserve"> do spłaty wysokości otrzymanego wsparcia zwrotnego w całości, tzn. nie jest uprawnion</w:t>
      </w:r>
      <w:r w:rsidR="735DC8DB" w:rsidRPr="302726D1">
        <w:rPr>
          <w:sz w:val="24"/>
          <w:szCs w:val="24"/>
        </w:rPr>
        <w:t>e</w:t>
      </w:r>
      <w:r w:rsidRPr="302726D1">
        <w:rPr>
          <w:sz w:val="24"/>
          <w:szCs w:val="24"/>
        </w:rPr>
        <w:t xml:space="preserve"> do uzyskania</w:t>
      </w:r>
      <w:r w:rsidR="07663AE7" w:rsidRPr="302726D1">
        <w:rPr>
          <w:sz w:val="24"/>
          <w:szCs w:val="24"/>
        </w:rPr>
        <w:t xml:space="preserve"> </w:t>
      </w:r>
      <w:r w:rsidRPr="302726D1">
        <w:rPr>
          <w:sz w:val="24"/>
          <w:szCs w:val="24"/>
        </w:rPr>
        <w:t>umorzenia lub rabatu kapitałowego</w:t>
      </w:r>
      <w:r w:rsidR="00A864CA" w:rsidRPr="302726D1">
        <w:rPr>
          <w:rStyle w:val="Odwoanieprzypisudolnego"/>
          <w:sz w:val="24"/>
          <w:szCs w:val="24"/>
        </w:rPr>
        <w:footnoteReference w:id="4"/>
      </w:r>
      <w:r w:rsidR="00F00B76">
        <w:rPr>
          <w:sz w:val="24"/>
          <w:szCs w:val="24"/>
        </w:rPr>
        <w:t>.</w:t>
      </w:r>
      <w:r w:rsidRPr="302726D1">
        <w:rPr>
          <w:sz w:val="24"/>
          <w:szCs w:val="24"/>
        </w:rPr>
        <w:t xml:space="preserve"> </w:t>
      </w:r>
      <w:r w:rsidR="5148A9EF" w:rsidRPr="302726D1">
        <w:rPr>
          <w:sz w:val="24"/>
          <w:szCs w:val="24"/>
        </w:rPr>
        <w:t>W przypadku finansowania wkładu własnego przez MŚP</w:t>
      </w:r>
      <w:r w:rsidR="7919D67F" w:rsidRPr="302726D1">
        <w:rPr>
          <w:sz w:val="24"/>
          <w:szCs w:val="24"/>
        </w:rPr>
        <w:t xml:space="preserve"> </w:t>
      </w:r>
      <w:r w:rsidR="5148A9EF" w:rsidRPr="302726D1">
        <w:rPr>
          <w:sz w:val="24"/>
          <w:szCs w:val="24"/>
        </w:rPr>
        <w:t xml:space="preserve">z </w:t>
      </w:r>
      <w:r w:rsidR="7DDE2835" w:rsidRPr="302726D1">
        <w:rPr>
          <w:sz w:val="24"/>
          <w:szCs w:val="24"/>
        </w:rPr>
        <w:t> </w:t>
      </w:r>
      <w:r w:rsidR="5148A9EF" w:rsidRPr="302726D1">
        <w:rPr>
          <w:sz w:val="24"/>
          <w:szCs w:val="24"/>
        </w:rPr>
        <w:t>pożyczki</w:t>
      </w:r>
      <w:r w:rsidR="2B549F33" w:rsidRPr="302726D1">
        <w:rPr>
          <w:sz w:val="24"/>
          <w:szCs w:val="24"/>
        </w:rPr>
        <w:t>,</w:t>
      </w:r>
      <w:r w:rsidR="5148A9EF" w:rsidRPr="302726D1">
        <w:rPr>
          <w:sz w:val="24"/>
          <w:szCs w:val="24"/>
        </w:rPr>
        <w:t xml:space="preserve"> MŚP przedstawia </w:t>
      </w:r>
      <w:r w:rsidR="40D3F910" w:rsidRPr="302726D1">
        <w:rPr>
          <w:sz w:val="24"/>
          <w:szCs w:val="24"/>
        </w:rPr>
        <w:t xml:space="preserve">Operatorowi </w:t>
      </w:r>
      <w:r w:rsidR="5148A9EF" w:rsidRPr="302726D1">
        <w:rPr>
          <w:sz w:val="24"/>
          <w:szCs w:val="24"/>
        </w:rPr>
        <w:t>do weryfikacji kopię umowy pożyczki.</w:t>
      </w:r>
    </w:p>
    <w:p w14:paraId="4A2114B9" w14:textId="53E524D9" w:rsidR="00CF6E42" w:rsidRPr="00771E87" w:rsidRDefault="00A361CB" w:rsidP="00A579EE">
      <w:pPr>
        <w:pStyle w:val="NCBR2Nagowek"/>
        <w:spacing w:after="360"/>
        <w:rPr>
          <w:rFonts w:asciiTheme="minorHAnsi" w:hAnsiTheme="minorHAnsi" w:cstheme="minorHAnsi"/>
          <w:sz w:val="24"/>
          <w:szCs w:val="24"/>
        </w:rPr>
      </w:pPr>
      <w:bookmarkStart w:id="7" w:name="_Toc162526810"/>
      <w:r w:rsidRPr="00771E87">
        <w:rPr>
          <w:rFonts w:asciiTheme="minorHAnsi" w:hAnsiTheme="minorHAnsi" w:cstheme="minorHAnsi"/>
          <w:sz w:val="24"/>
          <w:szCs w:val="24"/>
        </w:rPr>
        <w:t>2.4 Zakaz podwójnego finansowania wydatków MŚP</w:t>
      </w:r>
      <w:bookmarkEnd w:id="7"/>
    </w:p>
    <w:p w14:paraId="4330B689" w14:textId="547B5728" w:rsidR="003252A1" w:rsidRPr="00771E87" w:rsidRDefault="5B3651C6" w:rsidP="004B3A93">
      <w:pPr>
        <w:spacing w:line="360" w:lineRule="auto"/>
        <w:rPr>
          <w:rFonts w:cstheme="minorHAnsi"/>
          <w:sz w:val="24"/>
          <w:szCs w:val="24"/>
        </w:rPr>
      </w:pPr>
      <w:r w:rsidRPr="00771E87">
        <w:rPr>
          <w:rFonts w:cstheme="minorHAnsi"/>
          <w:sz w:val="24"/>
          <w:szCs w:val="24"/>
        </w:rPr>
        <w:t>Wydatki MŚP nie mogą być podwójnie finansowane ze środków unijnych, niezależnie od formy (bezzwrotna dotacja czy zwrotna pożyczka)</w:t>
      </w:r>
      <w:r w:rsidR="7E01A854" w:rsidRPr="00771E87">
        <w:rPr>
          <w:rFonts w:cstheme="minorHAnsi"/>
          <w:sz w:val="24"/>
          <w:szCs w:val="24"/>
        </w:rPr>
        <w:t>,</w:t>
      </w:r>
      <w:r w:rsidRPr="00771E87">
        <w:rPr>
          <w:rFonts w:cstheme="minorHAnsi"/>
          <w:sz w:val="24"/>
          <w:szCs w:val="24"/>
        </w:rPr>
        <w:t xml:space="preserve"> oraz krajowych środków publicznych</w:t>
      </w:r>
      <w:r w:rsidR="248928BC" w:rsidRPr="00771E87">
        <w:rPr>
          <w:rFonts w:cstheme="minorHAnsi"/>
          <w:sz w:val="24"/>
          <w:szCs w:val="24"/>
        </w:rPr>
        <w:t xml:space="preserve"> </w:t>
      </w:r>
      <w:r w:rsidRPr="00771E87">
        <w:rPr>
          <w:rFonts w:cstheme="minorHAnsi"/>
          <w:sz w:val="24"/>
          <w:szCs w:val="24"/>
        </w:rPr>
        <w:t>otrzymanych</w:t>
      </w:r>
      <w:r w:rsidR="7CF2AC45" w:rsidRPr="00771E87">
        <w:rPr>
          <w:rFonts w:cstheme="minorHAnsi"/>
          <w:sz w:val="24"/>
          <w:szCs w:val="24"/>
        </w:rPr>
        <w:t xml:space="preserve"> </w:t>
      </w:r>
      <w:r w:rsidRPr="00771E87">
        <w:rPr>
          <w:rFonts w:cstheme="minorHAnsi"/>
          <w:sz w:val="24"/>
          <w:szCs w:val="24"/>
        </w:rPr>
        <w:t>formie bezzwrotnej (dopłata, dotacja).</w:t>
      </w:r>
    </w:p>
    <w:p w14:paraId="7FBB16AA" w14:textId="5DFB6CC7" w:rsidR="003252A1" w:rsidRPr="00771E87" w:rsidRDefault="003252A1" w:rsidP="004B3A93">
      <w:pPr>
        <w:spacing w:line="360" w:lineRule="auto"/>
        <w:rPr>
          <w:rFonts w:cstheme="minorHAnsi"/>
          <w:sz w:val="24"/>
          <w:szCs w:val="24"/>
        </w:rPr>
      </w:pPr>
      <w:r w:rsidRPr="00771E87">
        <w:rPr>
          <w:rFonts w:cstheme="minorHAnsi"/>
          <w:sz w:val="24"/>
          <w:szCs w:val="24"/>
        </w:rPr>
        <w:t>Z podwójnym finansowaniem wydatków mamy do czynienia w szczególności w następujących przypadkach:</w:t>
      </w:r>
    </w:p>
    <w:p w14:paraId="2F735974" w14:textId="738AC805" w:rsidR="003252A1" w:rsidRPr="00BF1BCA" w:rsidRDefault="36554CC9" w:rsidP="450F1B5E">
      <w:pPr>
        <w:pStyle w:val="paragraph"/>
        <w:spacing w:before="0" w:beforeAutospacing="0" w:after="0" w:afterAutospacing="0" w:line="360" w:lineRule="auto"/>
        <w:textAlignment w:val="baseline"/>
        <w:rPr>
          <w:rFonts w:asciiTheme="minorHAnsi" w:hAnsiTheme="minorHAnsi" w:cstheme="minorHAnsi"/>
        </w:rPr>
      </w:pPr>
      <w:r w:rsidRPr="00771E87">
        <w:rPr>
          <w:rStyle w:val="normaltextrun"/>
          <w:rFonts w:asciiTheme="minorHAnsi" w:eastAsiaTheme="majorEastAsia" w:hAnsiTheme="minorHAnsi" w:cstheme="minorHAnsi"/>
        </w:rPr>
        <w:t>a)</w:t>
      </w:r>
      <w:r w:rsidR="00527079">
        <w:rPr>
          <w:rStyle w:val="normaltextrun"/>
          <w:rFonts w:asciiTheme="minorHAnsi" w:eastAsiaTheme="majorEastAsia" w:hAnsiTheme="minorHAnsi" w:cstheme="minorHAnsi"/>
        </w:rPr>
        <w:t xml:space="preserve"> </w:t>
      </w:r>
      <w:r w:rsidRPr="00771E87">
        <w:rPr>
          <w:rStyle w:val="normaltextrun"/>
          <w:rFonts w:asciiTheme="minorHAnsi" w:eastAsiaTheme="majorEastAsia" w:hAnsiTheme="minorHAnsi" w:cstheme="minorHAnsi"/>
        </w:rPr>
        <w:t>więcej niż jednokrotne przedstawienie do rozliczenia tego samego wydatku albo tej samej części wydatku ze środków UE w jakiejkolwiek formie (w szczególności dotacji, pożyczki, gwarancji</w:t>
      </w:r>
      <w:r w:rsidR="75421D44" w:rsidRPr="00771E87">
        <w:rPr>
          <w:rStyle w:val="normaltextrun"/>
          <w:rFonts w:asciiTheme="minorHAnsi" w:eastAsiaTheme="majorEastAsia" w:hAnsiTheme="minorHAnsi" w:cstheme="minorHAnsi"/>
        </w:rPr>
        <w:t xml:space="preserve"> lub </w:t>
      </w:r>
      <w:r w:rsidRPr="00771E87">
        <w:rPr>
          <w:rStyle w:val="normaltextrun"/>
          <w:rFonts w:asciiTheme="minorHAnsi" w:eastAsiaTheme="majorEastAsia" w:hAnsiTheme="minorHAnsi" w:cstheme="minorHAnsi"/>
        </w:rPr>
        <w:t>poręczenia</w:t>
      </w:r>
      <w:r w:rsidR="1B06C9B3" w:rsidRPr="00771E87">
        <w:rPr>
          <w:rStyle w:val="normaltextrun"/>
          <w:rFonts w:asciiTheme="minorHAnsi" w:eastAsiaTheme="majorEastAsia" w:hAnsiTheme="minorHAnsi" w:cstheme="minorHAnsi"/>
        </w:rPr>
        <w:t xml:space="preserve"> współfinansowanych ze środków unijnych</w:t>
      </w:r>
      <w:r w:rsidRPr="00771E87">
        <w:rPr>
          <w:rStyle w:val="normaltextrun"/>
          <w:rFonts w:asciiTheme="minorHAnsi" w:eastAsiaTheme="majorEastAsia" w:hAnsiTheme="minorHAnsi" w:cstheme="minorHAnsi"/>
        </w:rPr>
        <w:t>),</w:t>
      </w:r>
    </w:p>
    <w:p w14:paraId="4A5B9919" w14:textId="5FD7D1CD" w:rsidR="003252A1" w:rsidRPr="00771E87" w:rsidRDefault="00D5DD0D" w:rsidP="00A579EE">
      <w:pPr>
        <w:pStyle w:val="paragraph"/>
        <w:spacing w:before="0" w:beforeAutospacing="0" w:after="360" w:afterAutospacing="0" w:line="360" w:lineRule="auto"/>
        <w:textAlignment w:val="baseline"/>
        <w:rPr>
          <w:rStyle w:val="eop"/>
          <w:rFonts w:asciiTheme="minorHAnsi" w:eastAsiaTheme="majorEastAsia" w:hAnsiTheme="minorHAnsi" w:cstheme="minorHAnsi"/>
        </w:rPr>
      </w:pPr>
      <w:r w:rsidRPr="00771E87">
        <w:rPr>
          <w:rStyle w:val="normaltextrun"/>
          <w:rFonts w:asciiTheme="minorHAnsi" w:eastAsiaTheme="majorEastAsia" w:hAnsiTheme="minorHAnsi" w:cstheme="minorHAnsi"/>
        </w:rPr>
        <w:t>b</w:t>
      </w:r>
      <w:r w:rsidR="36554CC9" w:rsidRPr="00771E87">
        <w:rPr>
          <w:rStyle w:val="normaltextrun"/>
          <w:rFonts w:asciiTheme="minorHAnsi" w:eastAsiaTheme="majorEastAsia" w:hAnsiTheme="minorHAnsi" w:cstheme="minorHAnsi"/>
        </w:rPr>
        <w:t>) otrzymanie na wydatki kwalifikowalne danego przedsięwzięcia MŚP lub części przedsięwzięcia MŚP</w:t>
      </w:r>
      <w:r w:rsidR="00F00B76">
        <w:rPr>
          <w:rStyle w:val="eop"/>
          <w:rFonts w:asciiTheme="minorHAnsi" w:eastAsiaTheme="majorEastAsia" w:hAnsiTheme="minorHAnsi" w:cstheme="minorHAnsi"/>
          <w:color w:val="0078D4"/>
        </w:rPr>
        <w:t xml:space="preserve"> </w:t>
      </w:r>
      <w:r w:rsidR="36554CC9" w:rsidRPr="00771E87">
        <w:rPr>
          <w:rStyle w:val="normaltextrun"/>
          <w:rFonts w:asciiTheme="minorHAnsi" w:eastAsiaTheme="majorEastAsia" w:hAnsiTheme="minorHAnsi" w:cstheme="minorHAnsi"/>
        </w:rPr>
        <w:t>dotacji z kilku źródeł (krajowych, unijnych lub innych) w wysokości łącznie wyższej niż 100% wydatków kwalifikowalnych przedsięwzięcia MŚP lub części przedsięwzięcia MŚP.</w:t>
      </w:r>
      <w:r w:rsidR="36554CC9" w:rsidRPr="00771E87">
        <w:rPr>
          <w:rStyle w:val="eop"/>
          <w:rFonts w:asciiTheme="minorHAnsi" w:eastAsiaTheme="majorEastAsia" w:hAnsiTheme="minorHAnsi" w:cstheme="minorHAnsi"/>
        </w:rPr>
        <w:t> </w:t>
      </w:r>
    </w:p>
    <w:p w14:paraId="43D5A48A" w14:textId="77222B21" w:rsidR="00A361CB" w:rsidRPr="00771E87" w:rsidRDefault="5B3651C6" w:rsidP="002C1571">
      <w:pPr>
        <w:pStyle w:val="paragraph"/>
        <w:spacing w:before="0" w:beforeAutospacing="0" w:after="480" w:afterAutospacing="0" w:line="360" w:lineRule="auto"/>
        <w:textAlignment w:val="baseline"/>
        <w:rPr>
          <w:rFonts w:asciiTheme="minorHAnsi" w:eastAsiaTheme="majorEastAsia" w:hAnsiTheme="minorHAnsi" w:cstheme="minorHAnsi"/>
        </w:rPr>
      </w:pPr>
      <w:r w:rsidRPr="00771E87">
        <w:rPr>
          <w:rStyle w:val="eop"/>
          <w:rFonts w:asciiTheme="minorHAnsi" w:eastAsiaTheme="majorEastAsia" w:hAnsiTheme="minorHAnsi" w:cstheme="minorHAnsi"/>
        </w:rPr>
        <w:lastRenderedPageBreak/>
        <w:t>Konsekwencje podwójnego finansowania wydatków ponosi MŚP w postaci uznania danego wydatku za niekwalifikowalny</w:t>
      </w:r>
      <w:r w:rsidR="39953999" w:rsidRPr="00771E87">
        <w:rPr>
          <w:rStyle w:val="eop"/>
          <w:rFonts w:asciiTheme="minorHAnsi" w:eastAsiaTheme="majorEastAsia" w:hAnsiTheme="minorHAnsi" w:cstheme="minorHAnsi"/>
        </w:rPr>
        <w:t xml:space="preserve">. W przypadku, gdy w ramach rozliczenia przedsięwzięcia MŚP zidentyfikowane zostaną powtarzające się przypadki podwójnego finansowania wydatków, wskazujące na </w:t>
      </w:r>
      <w:r w:rsidR="70B02032" w:rsidRPr="00771E87">
        <w:rPr>
          <w:rStyle w:val="eop"/>
          <w:rFonts w:asciiTheme="minorHAnsi" w:eastAsiaTheme="majorEastAsia" w:hAnsiTheme="minorHAnsi" w:cstheme="minorHAnsi"/>
        </w:rPr>
        <w:t>intencjonalne</w:t>
      </w:r>
      <w:r w:rsidR="39953999" w:rsidRPr="00771E87">
        <w:rPr>
          <w:rStyle w:val="eop"/>
          <w:rFonts w:asciiTheme="minorHAnsi" w:eastAsiaTheme="majorEastAsia" w:hAnsiTheme="minorHAnsi" w:cstheme="minorHAnsi"/>
        </w:rPr>
        <w:t xml:space="preserve"> działanie, następuje rozwiązanie umowy </w:t>
      </w:r>
      <w:r w:rsidR="79DE7791" w:rsidRPr="00771E87">
        <w:rPr>
          <w:rStyle w:val="eop"/>
          <w:rFonts w:asciiTheme="minorHAnsi" w:eastAsiaTheme="majorEastAsia" w:hAnsiTheme="minorHAnsi" w:cstheme="minorHAnsi"/>
        </w:rPr>
        <w:t>o objęcie przedsięwzięcia</w:t>
      </w:r>
      <w:r w:rsidR="39953999" w:rsidRPr="00771E87">
        <w:rPr>
          <w:rStyle w:val="eop"/>
          <w:rFonts w:asciiTheme="minorHAnsi" w:eastAsiaTheme="majorEastAsia" w:hAnsiTheme="minorHAnsi" w:cstheme="minorHAnsi"/>
        </w:rPr>
        <w:t xml:space="preserve"> MŚP</w:t>
      </w:r>
      <w:r w:rsidR="310DB1E3" w:rsidRPr="00771E87">
        <w:rPr>
          <w:rStyle w:val="eop"/>
          <w:rFonts w:asciiTheme="minorHAnsi" w:eastAsiaTheme="majorEastAsia" w:hAnsiTheme="minorHAnsi" w:cstheme="minorHAnsi"/>
        </w:rPr>
        <w:t xml:space="preserve"> wsparciem</w:t>
      </w:r>
      <w:r w:rsidR="39953999" w:rsidRPr="00771E87">
        <w:rPr>
          <w:rStyle w:val="eop"/>
          <w:rFonts w:asciiTheme="minorHAnsi" w:eastAsiaTheme="majorEastAsia" w:hAnsiTheme="minorHAnsi" w:cstheme="minorHAnsi"/>
        </w:rPr>
        <w:t xml:space="preserve">. Jednocześnie MŚP jest zobowiązane w takim przypadku do zwrotu w całości wypłaconego na jego rzecz wsparcia </w:t>
      </w:r>
      <w:r w:rsidR="2FB3E593" w:rsidRPr="00771E87">
        <w:rPr>
          <w:rStyle w:val="eop"/>
          <w:rFonts w:asciiTheme="minorHAnsi" w:eastAsiaTheme="majorEastAsia" w:hAnsiTheme="minorHAnsi" w:cstheme="minorHAnsi"/>
        </w:rPr>
        <w:t xml:space="preserve">wraz </w:t>
      </w:r>
      <w:r w:rsidR="39953999" w:rsidRPr="00771E87">
        <w:rPr>
          <w:rStyle w:val="eop"/>
          <w:rFonts w:asciiTheme="minorHAnsi" w:eastAsiaTheme="majorEastAsia" w:hAnsiTheme="minorHAnsi" w:cstheme="minorHAnsi"/>
        </w:rPr>
        <w:t xml:space="preserve">z </w:t>
      </w:r>
      <w:r w:rsidR="0F6A7296" w:rsidRPr="00771E87">
        <w:rPr>
          <w:rStyle w:val="eop"/>
          <w:rFonts w:asciiTheme="minorHAnsi" w:eastAsiaTheme="majorEastAsia" w:hAnsiTheme="minorHAnsi" w:cstheme="minorHAnsi"/>
        </w:rPr>
        <w:t xml:space="preserve">należnymi </w:t>
      </w:r>
      <w:r w:rsidR="39953999" w:rsidRPr="00771E87">
        <w:rPr>
          <w:rStyle w:val="eop"/>
          <w:rFonts w:asciiTheme="minorHAnsi" w:eastAsiaTheme="majorEastAsia" w:hAnsiTheme="minorHAnsi" w:cstheme="minorHAnsi"/>
        </w:rPr>
        <w:t>odsetkami</w:t>
      </w:r>
      <w:r w:rsidR="0F6A7296" w:rsidRPr="00771E87">
        <w:rPr>
          <w:rStyle w:val="eop"/>
          <w:rFonts w:asciiTheme="minorHAnsi" w:eastAsiaTheme="majorEastAsia" w:hAnsiTheme="minorHAnsi" w:cstheme="minorHAnsi"/>
        </w:rPr>
        <w:t>.</w:t>
      </w:r>
    </w:p>
    <w:p w14:paraId="2E1B1F8D" w14:textId="3CBC9685" w:rsidR="00CF6E42" w:rsidRPr="00771E87" w:rsidRDefault="00A361CB" w:rsidP="00A579EE">
      <w:pPr>
        <w:pStyle w:val="NCBR2Nagowek"/>
        <w:spacing w:after="360"/>
        <w:rPr>
          <w:rFonts w:asciiTheme="minorHAnsi" w:hAnsiTheme="minorHAnsi" w:cstheme="minorHAnsi"/>
          <w:sz w:val="24"/>
          <w:szCs w:val="24"/>
        </w:rPr>
      </w:pPr>
      <w:bookmarkStart w:id="8" w:name="_Toc162526811"/>
      <w:r w:rsidRPr="00771E87">
        <w:rPr>
          <w:rFonts w:asciiTheme="minorHAnsi" w:hAnsiTheme="minorHAnsi" w:cstheme="minorHAnsi"/>
          <w:sz w:val="24"/>
          <w:szCs w:val="24"/>
        </w:rPr>
        <w:t>2.5 Sposób traktowania VAT</w:t>
      </w:r>
      <w:bookmarkEnd w:id="8"/>
    </w:p>
    <w:p w14:paraId="4BA03595" w14:textId="17B73351" w:rsidR="00A361CB" w:rsidRPr="00771E87" w:rsidRDefault="3E39E86B" w:rsidP="0FD956A3">
      <w:pPr>
        <w:spacing w:after="0" w:line="360" w:lineRule="auto"/>
        <w:rPr>
          <w:rFonts w:cstheme="minorHAnsi"/>
          <w:sz w:val="24"/>
          <w:szCs w:val="24"/>
        </w:rPr>
      </w:pPr>
      <w:r w:rsidRPr="00771E87">
        <w:rPr>
          <w:rFonts w:cstheme="minorHAnsi"/>
          <w:sz w:val="24"/>
          <w:szCs w:val="24"/>
        </w:rPr>
        <w:t>Zgodnie z przepisami unijnymi mającymi zastosowanie do K</w:t>
      </w:r>
      <w:r w:rsidR="3DD1D67F" w:rsidRPr="00771E87">
        <w:rPr>
          <w:rFonts w:cstheme="minorHAnsi"/>
          <w:sz w:val="24"/>
          <w:szCs w:val="24"/>
        </w:rPr>
        <w:t>PO</w:t>
      </w:r>
      <w:r w:rsidRPr="00771E87">
        <w:rPr>
          <w:rFonts w:cstheme="minorHAnsi"/>
          <w:sz w:val="24"/>
          <w:szCs w:val="24"/>
        </w:rPr>
        <w:t xml:space="preserve"> podatek od towarów i usług (VAT) w ramach przedsięwzięcia MŚP stanowi wydatek niekwalifikowalny i nie może być finansowany ze środków planu rozwojowego.</w:t>
      </w:r>
    </w:p>
    <w:p w14:paraId="3F6FA70F" w14:textId="2500C042" w:rsidR="004F7868" w:rsidRPr="00771E87" w:rsidRDefault="0A2FDC8A" w:rsidP="002C1571">
      <w:pPr>
        <w:spacing w:after="480" w:line="360" w:lineRule="auto"/>
        <w:rPr>
          <w:rFonts w:cstheme="minorHAnsi"/>
          <w:sz w:val="24"/>
          <w:szCs w:val="24"/>
        </w:rPr>
      </w:pPr>
      <w:r w:rsidRPr="00771E87">
        <w:rPr>
          <w:rFonts w:cstheme="minorHAnsi"/>
          <w:sz w:val="24"/>
          <w:szCs w:val="24"/>
        </w:rPr>
        <w:t xml:space="preserve">Wydatki kwalifikowalne w ramach </w:t>
      </w:r>
      <w:r w:rsidR="53E32878" w:rsidRPr="00771E87">
        <w:rPr>
          <w:rFonts w:cstheme="minorHAnsi"/>
          <w:sz w:val="24"/>
          <w:szCs w:val="24"/>
        </w:rPr>
        <w:t>I</w:t>
      </w:r>
      <w:r w:rsidRPr="00771E87">
        <w:rPr>
          <w:rFonts w:cstheme="minorHAnsi"/>
          <w:sz w:val="24"/>
          <w:szCs w:val="24"/>
        </w:rPr>
        <w:t>nwestycji A1.2.1 nie obejmują zatem kwoty podatku VAT.</w:t>
      </w:r>
    </w:p>
    <w:p w14:paraId="66E03278" w14:textId="783C4F56" w:rsidR="00F20F5B" w:rsidRPr="00771E87" w:rsidRDefault="004F7868" w:rsidP="00A579EE">
      <w:pPr>
        <w:pStyle w:val="NCBR2Nagowek"/>
        <w:spacing w:after="360"/>
        <w:rPr>
          <w:rFonts w:asciiTheme="minorHAnsi" w:hAnsiTheme="minorHAnsi" w:cstheme="minorHAnsi"/>
          <w:sz w:val="24"/>
          <w:szCs w:val="24"/>
        </w:rPr>
      </w:pPr>
      <w:bookmarkStart w:id="9" w:name="_Toc162526812"/>
      <w:r w:rsidRPr="00771E87">
        <w:rPr>
          <w:rFonts w:asciiTheme="minorHAnsi" w:hAnsiTheme="minorHAnsi" w:cstheme="minorHAnsi"/>
          <w:sz w:val="24"/>
          <w:szCs w:val="24"/>
        </w:rPr>
        <w:t>2.</w:t>
      </w:r>
      <w:r w:rsidR="00A361CB" w:rsidRPr="00771E87">
        <w:rPr>
          <w:rFonts w:asciiTheme="minorHAnsi" w:hAnsiTheme="minorHAnsi" w:cstheme="minorHAnsi"/>
          <w:sz w:val="24"/>
          <w:szCs w:val="24"/>
        </w:rPr>
        <w:t>6</w:t>
      </w:r>
      <w:r w:rsidRPr="00771E87">
        <w:rPr>
          <w:rFonts w:asciiTheme="minorHAnsi" w:hAnsiTheme="minorHAnsi" w:cstheme="minorHAnsi"/>
          <w:sz w:val="24"/>
          <w:szCs w:val="24"/>
        </w:rPr>
        <w:t>.</w:t>
      </w:r>
      <w:r w:rsidR="00A579EE" w:rsidRPr="00771E87">
        <w:rPr>
          <w:rFonts w:asciiTheme="minorHAnsi" w:hAnsiTheme="minorHAnsi" w:cstheme="minorHAnsi"/>
          <w:sz w:val="24"/>
          <w:szCs w:val="24"/>
        </w:rPr>
        <w:t xml:space="preserve"> </w:t>
      </w:r>
      <w:r w:rsidRPr="00771E87">
        <w:rPr>
          <w:rFonts w:asciiTheme="minorHAnsi" w:hAnsiTheme="minorHAnsi" w:cstheme="minorHAnsi"/>
          <w:sz w:val="24"/>
          <w:szCs w:val="24"/>
        </w:rPr>
        <w:t>Ogólne warunki kwalifikowalności wydatków MŚP</w:t>
      </w:r>
      <w:bookmarkEnd w:id="9"/>
    </w:p>
    <w:p w14:paraId="429C5D0D" w14:textId="49789DC4" w:rsidR="004F7868" w:rsidRPr="00771E87" w:rsidRDefault="066D5F53" w:rsidP="004B3A93">
      <w:pPr>
        <w:spacing w:line="360" w:lineRule="auto"/>
        <w:rPr>
          <w:rFonts w:cstheme="minorHAnsi"/>
          <w:sz w:val="24"/>
          <w:szCs w:val="24"/>
        </w:rPr>
      </w:pPr>
      <w:r w:rsidRPr="00771E87">
        <w:rPr>
          <w:rFonts w:cstheme="minorHAnsi"/>
          <w:sz w:val="24"/>
          <w:szCs w:val="24"/>
        </w:rPr>
        <w:t>Wydatek MŚP może zostać uznany za kwalifikowalny</w:t>
      </w:r>
      <w:r w:rsidR="48E3E20A" w:rsidRPr="00771E87">
        <w:rPr>
          <w:rFonts w:cstheme="minorHAnsi"/>
          <w:sz w:val="24"/>
          <w:szCs w:val="24"/>
        </w:rPr>
        <w:t>,</w:t>
      </w:r>
      <w:r w:rsidRPr="00771E87">
        <w:rPr>
          <w:rFonts w:cstheme="minorHAnsi"/>
          <w:sz w:val="24"/>
          <w:szCs w:val="24"/>
        </w:rPr>
        <w:t xml:space="preserve"> jeżeli spełnia łącznie następujące ogólne warunki:</w:t>
      </w:r>
    </w:p>
    <w:p w14:paraId="730DFCDC" w14:textId="3EBDD0EB" w:rsidR="004F7868" w:rsidRPr="00771E87" w:rsidRDefault="13A78229" w:rsidP="00451844">
      <w:pPr>
        <w:spacing w:after="0" w:line="360" w:lineRule="auto"/>
        <w:rPr>
          <w:rFonts w:cstheme="minorHAnsi"/>
          <w:sz w:val="24"/>
          <w:szCs w:val="24"/>
        </w:rPr>
      </w:pPr>
      <w:r w:rsidRPr="00771E87">
        <w:rPr>
          <w:rFonts w:cstheme="minorHAnsi"/>
          <w:sz w:val="24"/>
          <w:szCs w:val="24"/>
        </w:rPr>
        <w:t>-został faktycznie poniesiony w okresie wskazanym w umowie o objęcie przedsięwzięcia MŚP wsparciem,</w:t>
      </w:r>
    </w:p>
    <w:p w14:paraId="69115995" w14:textId="1304A230" w:rsidR="004F7868" w:rsidRPr="00771E87" w:rsidRDefault="004F7868" w:rsidP="00451844">
      <w:pPr>
        <w:spacing w:after="0" w:line="360" w:lineRule="auto"/>
        <w:rPr>
          <w:rFonts w:cstheme="minorHAnsi"/>
          <w:sz w:val="24"/>
          <w:szCs w:val="24"/>
        </w:rPr>
      </w:pPr>
      <w:r w:rsidRPr="00771E87">
        <w:rPr>
          <w:rFonts w:cstheme="minorHAnsi"/>
          <w:sz w:val="24"/>
          <w:szCs w:val="24"/>
        </w:rPr>
        <w:t>-jest zgodny z obowiązującymi przepisami prawa unijnego oraz krajowego,</w:t>
      </w:r>
    </w:p>
    <w:p w14:paraId="2CC2A0C2" w14:textId="33CEC49C" w:rsidR="004F7868" w:rsidRPr="00771E87" w:rsidRDefault="004F7868" w:rsidP="00451844">
      <w:pPr>
        <w:spacing w:after="0" w:line="360" w:lineRule="auto"/>
        <w:rPr>
          <w:rFonts w:cstheme="minorHAnsi"/>
          <w:sz w:val="24"/>
          <w:szCs w:val="24"/>
        </w:rPr>
      </w:pPr>
      <w:r w:rsidRPr="00771E87">
        <w:rPr>
          <w:rFonts w:cstheme="minorHAnsi"/>
          <w:sz w:val="24"/>
          <w:szCs w:val="24"/>
        </w:rPr>
        <w:t>-został poniesiony zgodnie z postanowieniami umowy o objęcie przedsięwzięcia MŚP wsparciem,</w:t>
      </w:r>
    </w:p>
    <w:p w14:paraId="714C93DD" w14:textId="1E595EDA" w:rsidR="004F7868" w:rsidRPr="00771E87" w:rsidRDefault="066D5F53" w:rsidP="00451844">
      <w:pPr>
        <w:spacing w:after="0" w:line="360" w:lineRule="auto"/>
        <w:rPr>
          <w:rFonts w:cstheme="minorHAnsi"/>
          <w:sz w:val="24"/>
          <w:szCs w:val="24"/>
        </w:rPr>
      </w:pPr>
      <w:r w:rsidRPr="00771E87">
        <w:rPr>
          <w:rFonts w:cstheme="minorHAnsi"/>
          <w:sz w:val="24"/>
          <w:szCs w:val="24"/>
        </w:rPr>
        <w:t>-został uwzględniony w harmonogramie rzeczowo-finansowym / budżecie przedsięwzięcia</w:t>
      </w:r>
      <w:r w:rsidR="5BADFAB3" w:rsidRPr="00771E87">
        <w:rPr>
          <w:rFonts w:cstheme="minorHAnsi"/>
          <w:sz w:val="24"/>
          <w:szCs w:val="24"/>
        </w:rPr>
        <w:t xml:space="preserve"> MŚP</w:t>
      </w:r>
      <w:r w:rsidRPr="00771E87">
        <w:rPr>
          <w:rFonts w:cstheme="minorHAnsi"/>
          <w:sz w:val="24"/>
          <w:szCs w:val="24"/>
        </w:rPr>
        <w:t>,</w:t>
      </w:r>
    </w:p>
    <w:p w14:paraId="42B5FB1C" w14:textId="6598A44A" w:rsidR="00BD482A" w:rsidRPr="00771E87" w:rsidRDefault="004F7868" w:rsidP="00451844">
      <w:pPr>
        <w:spacing w:after="0" w:line="360" w:lineRule="auto"/>
        <w:rPr>
          <w:rFonts w:cstheme="minorHAnsi"/>
          <w:sz w:val="24"/>
          <w:szCs w:val="24"/>
        </w:rPr>
      </w:pPr>
      <w:r w:rsidRPr="00771E87">
        <w:rPr>
          <w:rFonts w:cstheme="minorHAnsi"/>
          <w:sz w:val="24"/>
          <w:szCs w:val="24"/>
        </w:rPr>
        <w:t>-</w:t>
      </w:r>
      <w:r w:rsidR="00BD482A" w:rsidRPr="00771E87">
        <w:rPr>
          <w:rFonts w:cstheme="minorHAnsi"/>
          <w:sz w:val="24"/>
          <w:szCs w:val="24"/>
        </w:rPr>
        <w:t>został dokonany w sposób przejrzysty, efektywny i racjonalny (wydatek odpowiada wartości rynkowej i nie został sztucznie zawyżony),</w:t>
      </w:r>
    </w:p>
    <w:p w14:paraId="3E12A083" w14:textId="67DCD8D5" w:rsidR="00BD482A" w:rsidRPr="00771E87" w:rsidRDefault="00BD482A" w:rsidP="00451844">
      <w:pPr>
        <w:spacing w:after="0" w:line="360" w:lineRule="auto"/>
        <w:rPr>
          <w:rFonts w:cstheme="minorHAnsi"/>
          <w:sz w:val="24"/>
          <w:szCs w:val="24"/>
        </w:rPr>
      </w:pPr>
      <w:r w:rsidRPr="00771E87">
        <w:rPr>
          <w:rFonts w:cstheme="minorHAnsi"/>
          <w:sz w:val="24"/>
          <w:szCs w:val="24"/>
        </w:rPr>
        <w:t>-dotyczy towarów, usług oraz robót, które zostały dostarczone lub zrealizowane,</w:t>
      </w:r>
    </w:p>
    <w:p w14:paraId="4E662024" w14:textId="54EE41C8" w:rsidR="00BD482A" w:rsidRPr="00771E87" w:rsidRDefault="00BD482A" w:rsidP="00451844">
      <w:pPr>
        <w:spacing w:after="0" w:line="360" w:lineRule="auto"/>
        <w:rPr>
          <w:rFonts w:cstheme="minorHAnsi"/>
          <w:sz w:val="24"/>
          <w:szCs w:val="24"/>
        </w:rPr>
      </w:pPr>
      <w:r w:rsidRPr="00771E87">
        <w:rPr>
          <w:rFonts w:cstheme="minorHAnsi"/>
          <w:sz w:val="24"/>
          <w:szCs w:val="24"/>
        </w:rPr>
        <w:t>-został należycie udokumentowany,</w:t>
      </w:r>
    </w:p>
    <w:p w14:paraId="48D332DC" w14:textId="535E6887" w:rsidR="00BD482A" w:rsidRPr="00771E87" w:rsidRDefault="00BD482A" w:rsidP="00451844">
      <w:pPr>
        <w:spacing w:after="0" w:line="360" w:lineRule="auto"/>
        <w:rPr>
          <w:rFonts w:cstheme="minorHAnsi"/>
          <w:sz w:val="24"/>
          <w:szCs w:val="24"/>
        </w:rPr>
      </w:pPr>
      <w:r w:rsidRPr="00771E87">
        <w:rPr>
          <w:rFonts w:cstheme="minorHAnsi"/>
          <w:sz w:val="24"/>
          <w:szCs w:val="24"/>
        </w:rPr>
        <w:t>-został wykazany we wniosku o płatność,</w:t>
      </w:r>
    </w:p>
    <w:p w14:paraId="4C2F79BC" w14:textId="7A8361C0" w:rsidR="00BD482A" w:rsidRPr="00771E87" w:rsidRDefault="5A646E2C" w:rsidP="00451844">
      <w:pPr>
        <w:spacing w:after="0" w:line="360" w:lineRule="auto"/>
        <w:rPr>
          <w:rFonts w:cstheme="minorHAnsi"/>
          <w:sz w:val="24"/>
          <w:szCs w:val="24"/>
        </w:rPr>
      </w:pPr>
      <w:r w:rsidRPr="00771E87">
        <w:rPr>
          <w:rFonts w:cstheme="minorHAnsi"/>
          <w:sz w:val="24"/>
          <w:szCs w:val="24"/>
        </w:rPr>
        <w:t>-został poniesiony zgodnie z mającymi do niego zastosowanie przepisami lub zasadami, tj. zgodnie z zasadą konkurencyjności</w:t>
      </w:r>
      <w:r w:rsidR="24DF6CD1" w:rsidRPr="00771E87">
        <w:rPr>
          <w:rFonts w:cstheme="minorHAnsi"/>
          <w:sz w:val="24"/>
          <w:szCs w:val="24"/>
        </w:rPr>
        <w:t>,</w:t>
      </w:r>
      <w:r w:rsidRPr="00771E87">
        <w:rPr>
          <w:rFonts w:cstheme="minorHAnsi"/>
          <w:sz w:val="24"/>
          <w:szCs w:val="24"/>
        </w:rPr>
        <w:t xml:space="preserve"> jeżeli jego wartość przekracza 50 tys. zł </w:t>
      </w:r>
      <w:r w:rsidR="32B0E929" w:rsidRPr="00771E87">
        <w:rPr>
          <w:rFonts w:cstheme="minorHAnsi"/>
          <w:sz w:val="24"/>
          <w:szCs w:val="24"/>
        </w:rPr>
        <w:t xml:space="preserve">netto </w:t>
      </w:r>
      <w:r w:rsidRPr="00771E87">
        <w:rPr>
          <w:rFonts w:cstheme="minorHAnsi"/>
          <w:sz w:val="24"/>
          <w:szCs w:val="24"/>
        </w:rPr>
        <w:t>lub zgodnie z ustawą</w:t>
      </w:r>
      <w:r w:rsidR="2C7A9376" w:rsidRPr="00771E87">
        <w:rPr>
          <w:rFonts w:cstheme="minorHAnsi"/>
          <w:sz w:val="24"/>
          <w:szCs w:val="24"/>
        </w:rPr>
        <w:t xml:space="preserve"> </w:t>
      </w:r>
      <w:r w:rsidR="77F6E404" w:rsidRPr="00771E87">
        <w:rPr>
          <w:rFonts w:cstheme="minorHAnsi"/>
          <w:sz w:val="24"/>
          <w:szCs w:val="24"/>
        </w:rPr>
        <w:t>z</w:t>
      </w:r>
      <w:r w:rsidR="00F00B76">
        <w:rPr>
          <w:rFonts w:cstheme="minorHAnsi"/>
          <w:sz w:val="24"/>
          <w:szCs w:val="24"/>
        </w:rPr>
        <w:t> </w:t>
      </w:r>
      <w:r w:rsidR="77F6E404" w:rsidRPr="00771E87">
        <w:rPr>
          <w:rFonts w:cstheme="minorHAnsi"/>
          <w:sz w:val="24"/>
          <w:szCs w:val="24"/>
        </w:rPr>
        <w:t>dnia 11 września 2019 r.</w:t>
      </w:r>
      <w:r w:rsidRPr="00771E87">
        <w:rPr>
          <w:rFonts w:cstheme="minorHAnsi"/>
          <w:sz w:val="24"/>
          <w:szCs w:val="24"/>
        </w:rPr>
        <w:t xml:space="preserve"> Prawo zamówień publicznych</w:t>
      </w:r>
      <w:r w:rsidR="1DD5BC47" w:rsidRPr="00771E87">
        <w:rPr>
          <w:rFonts w:cstheme="minorHAnsi"/>
          <w:sz w:val="24"/>
          <w:szCs w:val="24"/>
        </w:rPr>
        <w:t xml:space="preserve"> </w:t>
      </w:r>
      <w:r w:rsidR="1DD5BC47" w:rsidRPr="00771E87">
        <w:rPr>
          <w:rFonts w:eastAsia="Calibri" w:cstheme="minorHAnsi"/>
          <w:sz w:val="24"/>
          <w:szCs w:val="24"/>
        </w:rPr>
        <w:t>(Dz.U. z 202</w:t>
      </w:r>
      <w:r w:rsidR="00AD2D8B" w:rsidRPr="00771E87">
        <w:rPr>
          <w:rFonts w:eastAsia="Calibri" w:cstheme="minorHAnsi"/>
          <w:sz w:val="24"/>
          <w:szCs w:val="24"/>
        </w:rPr>
        <w:t>3</w:t>
      </w:r>
      <w:r w:rsidR="1DD5BC47" w:rsidRPr="00771E87">
        <w:rPr>
          <w:rFonts w:eastAsia="Calibri" w:cstheme="minorHAnsi"/>
          <w:sz w:val="24"/>
          <w:szCs w:val="24"/>
        </w:rPr>
        <w:t xml:space="preserve"> r. poz. 1</w:t>
      </w:r>
      <w:r w:rsidR="00AD2D8B" w:rsidRPr="00771E87">
        <w:rPr>
          <w:rFonts w:eastAsia="Calibri" w:cstheme="minorHAnsi"/>
          <w:sz w:val="24"/>
          <w:szCs w:val="24"/>
        </w:rPr>
        <w:t>605</w:t>
      </w:r>
      <w:r w:rsidR="1DD5BC47" w:rsidRPr="00771E87">
        <w:rPr>
          <w:rFonts w:eastAsia="Calibri" w:cstheme="minorHAnsi"/>
          <w:sz w:val="24"/>
          <w:szCs w:val="24"/>
        </w:rPr>
        <w:t xml:space="preserve">, z </w:t>
      </w:r>
      <w:proofErr w:type="spellStart"/>
      <w:r w:rsidR="1DD5BC47" w:rsidRPr="00771E87">
        <w:rPr>
          <w:rFonts w:eastAsia="Calibri" w:cstheme="minorHAnsi"/>
          <w:sz w:val="24"/>
          <w:szCs w:val="24"/>
        </w:rPr>
        <w:t>późn</w:t>
      </w:r>
      <w:proofErr w:type="spellEnd"/>
      <w:r w:rsidR="1DD5BC47" w:rsidRPr="00771E87">
        <w:rPr>
          <w:rFonts w:eastAsia="Calibri" w:cstheme="minorHAnsi"/>
          <w:sz w:val="24"/>
          <w:szCs w:val="24"/>
        </w:rPr>
        <w:t xml:space="preserve">. zm.), dalej zwaną </w:t>
      </w:r>
      <w:proofErr w:type="spellStart"/>
      <w:r w:rsidR="1DD5BC47" w:rsidRPr="00771E87">
        <w:rPr>
          <w:rFonts w:eastAsia="Calibri" w:cstheme="minorHAnsi"/>
          <w:sz w:val="24"/>
          <w:szCs w:val="24"/>
        </w:rPr>
        <w:t>Pzp</w:t>
      </w:r>
      <w:proofErr w:type="spellEnd"/>
      <w:r w:rsidR="55D62622" w:rsidRPr="00771E87">
        <w:rPr>
          <w:rFonts w:cstheme="minorHAnsi"/>
          <w:sz w:val="24"/>
          <w:szCs w:val="24"/>
        </w:rPr>
        <w:t>,</w:t>
      </w:r>
      <w:r w:rsidRPr="00771E87">
        <w:rPr>
          <w:rFonts w:cstheme="minorHAnsi"/>
          <w:sz w:val="24"/>
          <w:szCs w:val="24"/>
        </w:rPr>
        <w:t xml:space="preserve"> jeżeli jego poniesienie wymaga zastosowania </w:t>
      </w:r>
      <w:proofErr w:type="spellStart"/>
      <w:r w:rsidRPr="00771E87">
        <w:rPr>
          <w:rFonts w:cstheme="minorHAnsi"/>
          <w:sz w:val="24"/>
          <w:szCs w:val="24"/>
        </w:rPr>
        <w:t>Pzp</w:t>
      </w:r>
      <w:proofErr w:type="spellEnd"/>
      <w:r w:rsidRPr="00771E87">
        <w:rPr>
          <w:rFonts w:cstheme="minorHAnsi"/>
          <w:sz w:val="24"/>
          <w:szCs w:val="24"/>
        </w:rPr>
        <w:t xml:space="preserve">, </w:t>
      </w:r>
    </w:p>
    <w:p w14:paraId="24FBEBF5" w14:textId="4F3BFDC2" w:rsidR="00BD482A" w:rsidRPr="00771E87" w:rsidRDefault="00BD482A" w:rsidP="00451844">
      <w:pPr>
        <w:spacing w:after="0" w:line="360" w:lineRule="auto"/>
        <w:rPr>
          <w:rFonts w:cstheme="minorHAnsi"/>
          <w:sz w:val="24"/>
          <w:szCs w:val="24"/>
        </w:rPr>
      </w:pPr>
      <w:r w:rsidRPr="00771E87">
        <w:rPr>
          <w:rFonts w:cstheme="minorHAnsi"/>
          <w:sz w:val="24"/>
          <w:szCs w:val="24"/>
        </w:rPr>
        <w:lastRenderedPageBreak/>
        <w:t>-nie stanowi wydatku niekwalifikowalnego na mocy przepisów unijnych oraz krajowych,</w:t>
      </w:r>
    </w:p>
    <w:p w14:paraId="0172EF10" w14:textId="4B82DAEF" w:rsidR="00BD482A" w:rsidRPr="00771E87" w:rsidRDefault="00BD482A" w:rsidP="00451844">
      <w:pPr>
        <w:spacing w:after="0" w:line="360" w:lineRule="auto"/>
        <w:rPr>
          <w:rFonts w:cstheme="minorHAnsi"/>
          <w:sz w:val="24"/>
          <w:szCs w:val="24"/>
        </w:rPr>
      </w:pPr>
      <w:r w:rsidRPr="00771E87">
        <w:rPr>
          <w:rFonts w:cstheme="minorHAnsi"/>
          <w:sz w:val="24"/>
          <w:szCs w:val="24"/>
        </w:rPr>
        <w:t xml:space="preserve">-nie został przedstawiony do </w:t>
      </w:r>
      <w:r w:rsidR="00433FEA" w:rsidRPr="00771E87">
        <w:rPr>
          <w:rFonts w:cstheme="minorHAnsi"/>
          <w:sz w:val="24"/>
          <w:szCs w:val="24"/>
        </w:rPr>
        <w:t>dofinansowania w ramach innego programu unijnego wsparcia niezależnie od formy wsparcia (dotacja, pożyczka, poręczenie/gwarancja udzielane ze środków unijnych) ani w ramach programu krajowego wsparcia w formie bezzwrotnej (dotacja z krajowych środków publicznych),</w:t>
      </w:r>
    </w:p>
    <w:p w14:paraId="46E35F96" w14:textId="1FCDB04A" w:rsidR="00F20F5B" w:rsidRPr="00771E87" w:rsidRDefault="5964465F" w:rsidP="00A579EE">
      <w:pPr>
        <w:spacing w:after="480" w:line="360" w:lineRule="auto"/>
        <w:rPr>
          <w:rFonts w:cstheme="minorHAnsi"/>
          <w:sz w:val="24"/>
          <w:szCs w:val="24"/>
        </w:rPr>
      </w:pPr>
      <w:r w:rsidRPr="00771E87">
        <w:rPr>
          <w:rFonts w:cstheme="minorHAnsi"/>
          <w:sz w:val="24"/>
          <w:szCs w:val="24"/>
        </w:rPr>
        <w:t>-jest zgod</w:t>
      </w:r>
      <w:r w:rsidR="38E7033D" w:rsidRPr="00771E87">
        <w:rPr>
          <w:rFonts w:cstheme="minorHAnsi"/>
          <w:sz w:val="24"/>
          <w:szCs w:val="24"/>
        </w:rPr>
        <w:t>n</w:t>
      </w:r>
      <w:r w:rsidRPr="00771E87">
        <w:rPr>
          <w:rFonts w:cstheme="minorHAnsi"/>
          <w:sz w:val="24"/>
          <w:szCs w:val="24"/>
        </w:rPr>
        <w:t xml:space="preserve">y z warunkami uznania go za wydatek kwalifikowalny określonymi w </w:t>
      </w:r>
      <w:r w:rsidR="3FA87071" w:rsidRPr="00771E87">
        <w:rPr>
          <w:rFonts w:cstheme="minorHAnsi"/>
          <w:sz w:val="24"/>
          <w:szCs w:val="24"/>
        </w:rPr>
        <w:t>R</w:t>
      </w:r>
      <w:r w:rsidRPr="00771E87">
        <w:rPr>
          <w:rFonts w:cstheme="minorHAnsi"/>
          <w:sz w:val="24"/>
          <w:szCs w:val="24"/>
        </w:rPr>
        <w:t>egulaminie</w:t>
      </w:r>
      <w:r w:rsidR="3CCD9B86" w:rsidRPr="00771E87">
        <w:rPr>
          <w:rFonts w:cstheme="minorHAnsi"/>
          <w:sz w:val="24"/>
          <w:szCs w:val="24"/>
        </w:rPr>
        <w:t xml:space="preserve"> wyboru przedsięwzięć MŚP</w:t>
      </w:r>
      <w:r w:rsidRPr="00771E87">
        <w:rPr>
          <w:rFonts w:cstheme="minorHAnsi"/>
          <w:sz w:val="24"/>
          <w:szCs w:val="24"/>
        </w:rPr>
        <w:t xml:space="preserve">, umowie </w:t>
      </w:r>
      <w:r w:rsidR="324C9B31" w:rsidRPr="00771E87">
        <w:rPr>
          <w:rFonts w:cstheme="minorHAnsi"/>
          <w:sz w:val="24"/>
          <w:szCs w:val="24"/>
        </w:rPr>
        <w:t xml:space="preserve">o objęcie przedsięwzięcia MŚP wsparciem </w:t>
      </w:r>
      <w:r w:rsidRPr="00771E87">
        <w:rPr>
          <w:rFonts w:cstheme="minorHAnsi"/>
          <w:sz w:val="24"/>
          <w:szCs w:val="24"/>
        </w:rPr>
        <w:t xml:space="preserve">oraz niniejszym </w:t>
      </w:r>
      <w:r w:rsidR="12817175" w:rsidRPr="00771E87">
        <w:rPr>
          <w:rFonts w:cstheme="minorHAnsi"/>
          <w:sz w:val="24"/>
          <w:szCs w:val="24"/>
        </w:rPr>
        <w:t>P</w:t>
      </w:r>
      <w:r w:rsidRPr="00771E87">
        <w:rPr>
          <w:rFonts w:cstheme="minorHAnsi"/>
          <w:sz w:val="24"/>
          <w:szCs w:val="24"/>
        </w:rPr>
        <w:t>rzewodniku.</w:t>
      </w:r>
    </w:p>
    <w:p w14:paraId="754F6C6A" w14:textId="6128AEDA" w:rsidR="00F20F5B" w:rsidRPr="00771E87" w:rsidRDefault="00167C35" w:rsidP="00A579EE">
      <w:pPr>
        <w:pStyle w:val="NCBR2Nagowek"/>
        <w:spacing w:after="360"/>
        <w:rPr>
          <w:rFonts w:asciiTheme="minorHAnsi" w:hAnsiTheme="minorHAnsi" w:cstheme="minorHAnsi"/>
          <w:sz w:val="24"/>
          <w:szCs w:val="24"/>
        </w:rPr>
      </w:pPr>
      <w:bookmarkStart w:id="10" w:name="_Toc162526813"/>
      <w:r w:rsidRPr="00771E87">
        <w:rPr>
          <w:rFonts w:asciiTheme="minorHAnsi" w:hAnsiTheme="minorHAnsi" w:cstheme="minorHAnsi"/>
          <w:sz w:val="24"/>
          <w:szCs w:val="24"/>
        </w:rPr>
        <w:t>2.</w:t>
      </w:r>
      <w:r w:rsidR="00B57F7A" w:rsidRPr="00771E87">
        <w:rPr>
          <w:rFonts w:asciiTheme="minorHAnsi" w:hAnsiTheme="minorHAnsi" w:cstheme="minorHAnsi"/>
          <w:sz w:val="24"/>
          <w:szCs w:val="24"/>
        </w:rPr>
        <w:t>7</w:t>
      </w:r>
      <w:r w:rsidR="00433FEA" w:rsidRPr="00771E87">
        <w:rPr>
          <w:rFonts w:asciiTheme="minorHAnsi" w:hAnsiTheme="minorHAnsi" w:cstheme="minorHAnsi"/>
          <w:sz w:val="24"/>
          <w:szCs w:val="24"/>
        </w:rPr>
        <w:t>. Zasada faktycznego poniesienia wydatku</w:t>
      </w:r>
      <w:bookmarkEnd w:id="10"/>
    </w:p>
    <w:p w14:paraId="3B800FCB" w14:textId="3C295356" w:rsidR="00731CC0" w:rsidRPr="00771E87" w:rsidRDefault="2930C09E" w:rsidP="004B3A93">
      <w:pPr>
        <w:spacing w:line="360" w:lineRule="auto"/>
        <w:rPr>
          <w:rFonts w:cstheme="minorHAnsi"/>
        </w:rPr>
      </w:pPr>
      <w:r w:rsidRPr="00771E87">
        <w:rPr>
          <w:rFonts w:cstheme="minorHAnsi"/>
          <w:sz w:val="24"/>
          <w:szCs w:val="24"/>
        </w:rPr>
        <w:t>Wydatki</w:t>
      </w:r>
      <w:r w:rsidR="4904CF8B" w:rsidRPr="00771E87">
        <w:rPr>
          <w:rFonts w:cstheme="minorHAnsi"/>
          <w:sz w:val="24"/>
          <w:szCs w:val="24"/>
        </w:rPr>
        <w:t xml:space="preserve"> ponoszone przez MŚP są wykazywane w przedkładanym wniosku o płatność zgodnie</w:t>
      </w:r>
      <w:r w:rsidR="00684BB3" w:rsidRPr="00771E87">
        <w:rPr>
          <w:rFonts w:cstheme="minorHAnsi"/>
          <w:sz w:val="24"/>
          <w:szCs w:val="24"/>
        </w:rPr>
        <w:t xml:space="preserve"> </w:t>
      </w:r>
      <w:r w:rsidR="4904CF8B" w:rsidRPr="00771E87">
        <w:rPr>
          <w:rFonts w:cstheme="minorHAnsi"/>
          <w:sz w:val="24"/>
          <w:szCs w:val="24"/>
        </w:rPr>
        <w:t>z</w:t>
      </w:r>
      <w:r w:rsidR="00F00B76">
        <w:rPr>
          <w:rFonts w:cstheme="minorHAnsi"/>
          <w:sz w:val="24"/>
          <w:szCs w:val="24"/>
        </w:rPr>
        <w:t> </w:t>
      </w:r>
      <w:r w:rsidR="4904CF8B" w:rsidRPr="00771E87">
        <w:rPr>
          <w:rFonts w:cstheme="minorHAnsi"/>
          <w:sz w:val="24"/>
          <w:szCs w:val="24"/>
        </w:rPr>
        <w:t>zasadą kasową, tj. kosztem kwalifikowalnym są jedynie koszty rzeczywiście poniesione jako rozchód środków pieniężnych z kasy lub rachunku bankowego MŚP</w:t>
      </w:r>
      <w:r w:rsidR="429E6824" w:rsidRPr="00771E87">
        <w:rPr>
          <w:rFonts w:cstheme="minorHAnsi"/>
          <w:sz w:val="24"/>
          <w:szCs w:val="24"/>
        </w:rPr>
        <w:t>. Wyjąt</w:t>
      </w:r>
      <w:r w:rsidR="7763A41D" w:rsidRPr="00771E87">
        <w:rPr>
          <w:rFonts w:cstheme="minorHAnsi"/>
          <w:sz w:val="24"/>
          <w:szCs w:val="24"/>
        </w:rPr>
        <w:t>e</w:t>
      </w:r>
      <w:r w:rsidR="429E6824" w:rsidRPr="00771E87">
        <w:rPr>
          <w:rFonts w:cstheme="minorHAnsi"/>
          <w:sz w:val="24"/>
          <w:szCs w:val="24"/>
        </w:rPr>
        <w:t>k od tej reguły mogą stanowić:</w:t>
      </w:r>
    </w:p>
    <w:p w14:paraId="00F2E29C" w14:textId="77777777" w:rsidR="00731CC0" w:rsidRPr="00771E87" w:rsidRDefault="429E6824" w:rsidP="004B3A93">
      <w:pPr>
        <w:spacing w:line="360" w:lineRule="auto"/>
        <w:rPr>
          <w:rFonts w:cstheme="minorHAnsi"/>
        </w:rPr>
      </w:pPr>
      <w:r w:rsidRPr="00771E87">
        <w:rPr>
          <w:rFonts w:cstheme="minorHAnsi"/>
          <w:sz w:val="24"/>
          <w:szCs w:val="24"/>
        </w:rPr>
        <w:t>- koszty amortyzacji,</w:t>
      </w:r>
    </w:p>
    <w:p w14:paraId="56B76F01" w14:textId="77777777" w:rsidR="00731CC0" w:rsidRPr="00771E87" w:rsidRDefault="429E6824" w:rsidP="004B3A93">
      <w:pPr>
        <w:spacing w:line="360" w:lineRule="auto"/>
        <w:rPr>
          <w:rFonts w:cstheme="minorHAnsi"/>
        </w:rPr>
      </w:pPr>
      <w:r w:rsidRPr="00771E87">
        <w:rPr>
          <w:rFonts w:cstheme="minorHAnsi"/>
          <w:sz w:val="24"/>
          <w:szCs w:val="24"/>
        </w:rPr>
        <w:t>-rozliczenia dokonywane na podstawie noty księgowej,</w:t>
      </w:r>
    </w:p>
    <w:p w14:paraId="5842F725" w14:textId="3D440D04" w:rsidR="009C7D36" w:rsidRPr="00771E87" w:rsidRDefault="429E6824" w:rsidP="004B3A93">
      <w:pPr>
        <w:spacing w:line="360" w:lineRule="auto"/>
        <w:rPr>
          <w:rFonts w:cstheme="minorHAnsi"/>
          <w:sz w:val="24"/>
          <w:szCs w:val="24"/>
        </w:rPr>
      </w:pPr>
      <w:r w:rsidRPr="00771E87">
        <w:rPr>
          <w:rFonts w:cstheme="minorHAnsi"/>
          <w:sz w:val="24"/>
          <w:szCs w:val="24"/>
        </w:rPr>
        <w:t>-potrącenia</w:t>
      </w:r>
      <w:r w:rsidR="68E83DBB" w:rsidRPr="00771E87">
        <w:rPr>
          <w:rFonts w:cstheme="minorHAnsi"/>
          <w:sz w:val="24"/>
          <w:szCs w:val="24"/>
        </w:rPr>
        <w:t>, o których mowa w art. 498 Kodeksu cywilnego,</w:t>
      </w:r>
      <w:r w:rsidRPr="00771E87">
        <w:rPr>
          <w:rFonts w:cstheme="minorHAnsi"/>
          <w:sz w:val="24"/>
          <w:szCs w:val="24"/>
        </w:rPr>
        <w:t xml:space="preserve"> występujące</w:t>
      </w:r>
      <w:r w:rsidR="3573EA45" w:rsidRPr="00771E87">
        <w:rPr>
          <w:rFonts w:cstheme="minorHAnsi"/>
          <w:sz w:val="24"/>
          <w:szCs w:val="24"/>
        </w:rPr>
        <w:t>,</w:t>
      </w:r>
      <w:r w:rsidRPr="00771E87">
        <w:rPr>
          <w:rFonts w:cstheme="minorHAnsi"/>
          <w:sz w:val="24"/>
          <w:szCs w:val="24"/>
        </w:rPr>
        <w:t xml:space="preserve"> gdy dwie strony są jednocześnie względem siebie dłużnikami i wierzycielami.</w:t>
      </w:r>
    </w:p>
    <w:p w14:paraId="6B5A2FAE" w14:textId="03D693FA" w:rsidR="00731CC0" w:rsidRPr="00771E87" w:rsidRDefault="3F2C555F" w:rsidP="004B3A93">
      <w:pPr>
        <w:spacing w:line="360" w:lineRule="auto"/>
        <w:rPr>
          <w:rFonts w:cstheme="minorHAnsi"/>
        </w:rPr>
      </w:pPr>
      <w:r w:rsidRPr="00771E87">
        <w:rPr>
          <w:rFonts w:cstheme="minorHAnsi"/>
          <w:sz w:val="24"/>
          <w:szCs w:val="24"/>
        </w:rPr>
        <w:t>Należy pamiętać, iż zgodnie z art. 19 ustawy z dnia 6 marca 2018 r</w:t>
      </w:r>
      <w:r w:rsidR="0E7A51DC" w:rsidRPr="00771E87">
        <w:rPr>
          <w:rFonts w:cstheme="minorHAnsi"/>
          <w:sz w:val="24"/>
          <w:szCs w:val="24"/>
        </w:rPr>
        <w:t>.</w:t>
      </w:r>
      <w:r w:rsidRPr="00771E87">
        <w:rPr>
          <w:rFonts w:cstheme="minorHAnsi"/>
          <w:sz w:val="24"/>
          <w:szCs w:val="24"/>
        </w:rPr>
        <w:t xml:space="preserve"> Prawo przedsiębiorców</w:t>
      </w:r>
      <w:r w:rsidR="7B647B1B" w:rsidRPr="00771E87">
        <w:rPr>
          <w:rFonts w:cstheme="minorHAnsi"/>
          <w:sz w:val="24"/>
          <w:szCs w:val="24"/>
        </w:rPr>
        <w:t xml:space="preserve"> (Dz. U</w:t>
      </w:r>
      <w:r w:rsidR="00F00B76">
        <w:rPr>
          <w:rFonts w:cstheme="minorHAnsi"/>
          <w:sz w:val="24"/>
          <w:szCs w:val="24"/>
        </w:rPr>
        <w:t xml:space="preserve">. </w:t>
      </w:r>
      <w:r w:rsidR="7B647B1B" w:rsidRPr="00771E87">
        <w:rPr>
          <w:rFonts w:cstheme="minorHAnsi"/>
          <w:sz w:val="24"/>
          <w:szCs w:val="24"/>
        </w:rPr>
        <w:t>z 202</w:t>
      </w:r>
      <w:r w:rsidR="00D10485" w:rsidRPr="00771E87">
        <w:rPr>
          <w:rFonts w:cstheme="minorHAnsi"/>
          <w:sz w:val="24"/>
          <w:szCs w:val="24"/>
        </w:rPr>
        <w:t>4</w:t>
      </w:r>
      <w:r w:rsidR="7B647B1B" w:rsidRPr="00771E87">
        <w:rPr>
          <w:rFonts w:cstheme="minorHAnsi"/>
          <w:sz w:val="24"/>
          <w:szCs w:val="24"/>
        </w:rPr>
        <w:t xml:space="preserve"> r. poz. </w:t>
      </w:r>
      <w:r w:rsidR="00D10485" w:rsidRPr="00771E87">
        <w:rPr>
          <w:rFonts w:cstheme="minorHAnsi"/>
          <w:sz w:val="24"/>
          <w:szCs w:val="24"/>
        </w:rPr>
        <w:t>236</w:t>
      </w:r>
      <w:r w:rsidR="7B647B1B" w:rsidRPr="00771E87">
        <w:rPr>
          <w:rFonts w:cstheme="minorHAnsi"/>
          <w:sz w:val="24"/>
          <w:szCs w:val="24"/>
        </w:rPr>
        <w:t>)</w:t>
      </w:r>
      <w:r w:rsidRPr="00771E87">
        <w:rPr>
          <w:rFonts w:cstheme="minorHAnsi"/>
          <w:sz w:val="24"/>
          <w:szCs w:val="24"/>
        </w:rPr>
        <w:t xml:space="preserve"> dokonywanie płatności następuje za pośrednictwem rachunku płatniczego przedsiębiorcy, w każdym przypadku, gdy:</w:t>
      </w:r>
    </w:p>
    <w:p w14:paraId="7A3FC8DE" w14:textId="7C01033C" w:rsidR="00731CC0" w:rsidRPr="00771E87" w:rsidRDefault="2702EE24" w:rsidP="302726D1">
      <w:pPr>
        <w:spacing w:line="360" w:lineRule="auto"/>
      </w:pPr>
      <w:r w:rsidRPr="302726D1">
        <w:rPr>
          <w:sz w:val="24"/>
          <w:szCs w:val="24"/>
        </w:rPr>
        <w:t>-stroną transakcji, z której wynika płatność jest inny przedsiębiorca, oraz</w:t>
      </w:r>
    </w:p>
    <w:p w14:paraId="61A5D9B4" w14:textId="7936895D" w:rsidR="00731CC0" w:rsidRPr="00771E87" w:rsidRDefault="2702EE24" w:rsidP="302726D1">
      <w:pPr>
        <w:spacing w:line="360" w:lineRule="auto"/>
      </w:pPr>
      <w:r w:rsidRPr="302726D1">
        <w:rPr>
          <w:sz w:val="24"/>
          <w:szCs w:val="24"/>
        </w:rPr>
        <w:t>-jednorazowa</w:t>
      </w:r>
      <w:r w:rsidR="164DA6AB" w:rsidRPr="302726D1">
        <w:rPr>
          <w:sz w:val="24"/>
          <w:szCs w:val="24"/>
        </w:rPr>
        <w:t> </w:t>
      </w:r>
      <w:r w:rsidRPr="302726D1">
        <w:rPr>
          <w:sz w:val="24"/>
          <w:szCs w:val="24"/>
        </w:rPr>
        <w:t>wartość transakcji, bez względu na liczbę wynikających z niej płatności, przekracza 15 tys. zł lub równowartość tej kwoty.</w:t>
      </w:r>
    </w:p>
    <w:p w14:paraId="2B7B70D3" w14:textId="0AD0B30B" w:rsidR="00114ABF" w:rsidRPr="00771E87" w:rsidRDefault="3F2C555F" w:rsidP="004B3A93">
      <w:pPr>
        <w:spacing w:line="360" w:lineRule="auto"/>
        <w:rPr>
          <w:rFonts w:cstheme="minorHAnsi"/>
          <w:sz w:val="24"/>
          <w:szCs w:val="24"/>
        </w:rPr>
      </w:pPr>
      <w:r w:rsidRPr="00771E87">
        <w:rPr>
          <w:rFonts w:cstheme="minorHAnsi"/>
          <w:sz w:val="24"/>
          <w:szCs w:val="24"/>
        </w:rPr>
        <w:t>Naruszenie art. 19 ustawy Prawo przedsiębiorców skutkować będzie uznaniem danego</w:t>
      </w:r>
      <w:r w:rsidR="3A5A78AC" w:rsidRPr="00771E87">
        <w:rPr>
          <w:rFonts w:cstheme="minorHAnsi"/>
          <w:sz w:val="24"/>
          <w:szCs w:val="24"/>
        </w:rPr>
        <w:t xml:space="preserve"> </w:t>
      </w:r>
      <w:r w:rsidRPr="00771E87">
        <w:rPr>
          <w:rFonts w:cstheme="minorHAnsi"/>
          <w:sz w:val="24"/>
          <w:szCs w:val="24"/>
        </w:rPr>
        <w:t>wydatku</w:t>
      </w:r>
      <w:r w:rsidR="00684BB3" w:rsidRPr="00771E87">
        <w:rPr>
          <w:rFonts w:cstheme="minorHAnsi"/>
          <w:sz w:val="24"/>
          <w:szCs w:val="24"/>
        </w:rPr>
        <w:t xml:space="preserve"> </w:t>
      </w:r>
      <w:r w:rsidRPr="00771E87">
        <w:rPr>
          <w:rFonts w:cstheme="minorHAnsi"/>
          <w:sz w:val="24"/>
          <w:szCs w:val="24"/>
        </w:rPr>
        <w:t xml:space="preserve">za niekwalifikowalny. </w:t>
      </w:r>
    </w:p>
    <w:p w14:paraId="136DBA3C" w14:textId="77777777" w:rsidR="000B711F" w:rsidRPr="00771E87" w:rsidRDefault="582485C4" w:rsidP="000B711F">
      <w:p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W</w:t>
      </w:r>
      <w:r w:rsidR="1611BD5C" w:rsidRPr="00771E87">
        <w:rPr>
          <w:rFonts w:cstheme="minorHAnsi"/>
          <w:sz w:val="24"/>
          <w:szCs w:val="24"/>
          <w:lang w:eastAsia="pl-PL"/>
        </w:rPr>
        <w:t xml:space="preserve"> przypadku zapłaty należności lub zobowiązań w walucie obcej</w:t>
      </w:r>
      <w:r w:rsidRPr="00771E87">
        <w:rPr>
          <w:rFonts w:cstheme="minorHAnsi"/>
          <w:sz w:val="24"/>
          <w:szCs w:val="24"/>
          <w:lang w:eastAsia="pl-PL"/>
        </w:rPr>
        <w:t xml:space="preserve"> (innej niż polski złoty)</w:t>
      </w:r>
      <w:r w:rsidR="000B711F" w:rsidRPr="00771E87">
        <w:rPr>
          <w:rFonts w:cstheme="minorHAnsi"/>
          <w:sz w:val="24"/>
          <w:szCs w:val="24"/>
          <w:lang w:eastAsia="pl-PL"/>
        </w:rPr>
        <w:t xml:space="preserve"> jego wartość jest przeliczana na PLN po kursie:</w:t>
      </w:r>
    </w:p>
    <w:p w14:paraId="562A5C47" w14:textId="03715397" w:rsidR="000B711F" w:rsidRPr="00771E87" w:rsidRDefault="000B711F" w:rsidP="000B711F">
      <w:p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lastRenderedPageBreak/>
        <w:t>a)</w:t>
      </w:r>
      <w:r w:rsidR="008210F5">
        <w:rPr>
          <w:rFonts w:cstheme="minorHAnsi"/>
          <w:sz w:val="24"/>
          <w:szCs w:val="24"/>
          <w:lang w:eastAsia="pl-PL"/>
        </w:rPr>
        <w:t xml:space="preserve"> </w:t>
      </w:r>
      <w:r w:rsidRPr="00771E87">
        <w:rPr>
          <w:rFonts w:cstheme="minorHAnsi"/>
          <w:sz w:val="24"/>
          <w:szCs w:val="24"/>
          <w:lang w:eastAsia="pl-PL"/>
        </w:rPr>
        <w:t>faktycznie zastosowanym w dniu jego poniesienia</w:t>
      </w:r>
      <w:r w:rsidR="00B121DB" w:rsidRPr="00771E87">
        <w:rPr>
          <w:rFonts w:cstheme="minorHAnsi"/>
          <w:sz w:val="24"/>
          <w:szCs w:val="24"/>
          <w:lang w:eastAsia="pl-PL"/>
        </w:rPr>
        <w:t xml:space="preserve"> (np. po kursie zastosowanym przez bank</w:t>
      </w:r>
      <w:r w:rsidR="007A1375" w:rsidRPr="00771E87">
        <w:rPr>
          <w:rFonts w:cstheme="minorHAnsi"/>
          <w:sz w:val="24"/>
          <w:szCs w:val="24"/>
          <w:lang w:eastAsia="pl-PL"/>
        </w:rPr>
        <w:t xml:space="preserve"> </w:t>
      </w:r>
      <w:r w:rsidR="00B121DB" w:rsidRPr="00771E87">
        <w:rPr>
          <w:rFonts w:cstheme="minorHAnsi"/>
          <w:sz w:val="24"/>
          <w:szCs w:val="24"/>
          <w:lang w:eastAsia="pl-PL"/>
        </w:rPr>
        <w:t xml:space="preserve">w rachunku </w:t>
      </w:r>
      <w:r w:rsidR="009B68C8" w:rsidRPr="00771E87">
        <w:rPr>
          <w:rFonts w:cstheme="minorHAnsi"/>
          <w:sz w:val="24"/>
          <w:szCs w:val="24"/>
          <w:lang w:eastAsia="pl-PL"/>
        </w:rPr>
        <w:t>MŚP</w:t>
      </w:r>
      <w:r w:rsidR="00B121DB" w:rsidRPr="00771E87">
        <w:rPr>
          <w:rFonts w:cstheme="minorHAnsi"/>
          <w:sz w:val="24"/>
          <w:szCs w:val="24"/>
          <w:lang w:eastAsia="pl-PL"/>
        </w:rPr>
        <w:t>),</w:t>
      </w:r>
    </w:p>
    <w:p w14:paraId="38638CF1" w14:textId="507099FF" w:rsidR="00187ED3" w:rsidRPr="00771E87" w:rsidRDefault="000B711F" w:rsidP="00666F52">
      <w:pPr>
        <w:autoSpaceDE w:val="0"/>
        <w:autoSpaceDN w:val="0"/>
        <w:adjustRightInd w:val="0"/>
        <w:spacing w:after="360" w:line="360" w:lineRule="auto"/>
        <w:rPr>
          <w:rStyle w:val="Pogrubienie"/>
          <w:rFonts w:cstheme="minorHAnsi"/>
          <w:b w:val="0"/>
          <w:bCs w:val="0"/>
          <w:color w:val="000000"/>
          <w:shd w:val="clear" w:color="auto" w:fill="FFFFFF"/>
        </w:rPr>
      </w:pPr>
      <w:r w:rsidRPr="00BF1BCA">
        <w:rPr>
          <w:rFonts w:cstheme="minorHAnsi"/>
          <w:sz w:val="24"/>
          <w:szCs w:val="24"/>
          <w:lang w:eastAsia="pl-PL"/>
        </w:rPr>
        <w:t>b</w:t>
      </w:r>
      <w:r w:rsidR="00A105A5" w:rsidRPr="00771E87">
        <w:rPr>
          <w:rFonts w:cstheme="minorHAnsi"/>
          <w:sz w:val="24"/>
          <w:szCs w:val="24"/>
          <w:lang w:eastAsia="pl-PL"/>
        </w:rPr>
        <w:t>)</w:t>
      </w:r>
      <w:r w:rsidR="008210F5">
        <w:rPr>
          <w:rFonts w:cstheme="minorHAnsi"/>
          <w:sz w:val="24"/>
          <w:szCs w:val="24"/>
          <w:lang w:eastAsia="pl-PL"/>
        </w:rPr>
        <w:t xml:space="preserve"> </w:t>
      </w:r>
      <w:r w:rsidR="0F9B90D5" w:rsidRPr="00771E87">
        <w:rPr>
          <w:rFonts w:cstheme="minorHAnsi"/>
          <w:sz w:val="24"/>
          <w:szCs w:val="24"/>
          <w:lang w:eastAsia="pl-PL"/>
        </w:rPr>
        <w:t xml:space="preserve">średnim </w:t>
      </w:r>
      <w:r w:rsidR="1611BD5C" w:rsidRPr="00771E87">
        <w:rPr>
          <w:rFonts w:cstheme="minorHAnsi"/>
          <w:sz w:val="24"/>
          <w:szCs w:val="24"/>
          <w:lang w:eastAsia="pl-PL"/>
        </w:rPr>
        <w:t xml:space="preserve">kursie </w:t>
      </w:r>
      <w:r w:rsidR="0F9B90D5" w:rsidRPr="00771E87">
        <w:rPr>
          <w:rFonts w:cstheme="minorHAnsi"/>
          <w:sz w:val="24"/>
          <w:szCs w:val="24"/>
          <w:lang w:eastAsia="pl-PL"/>
        </w:rPr>
        <w:t xml:space="preserve">ogłoszonym przez Narodowy Bank Polski </w:t>
      </w:r>
      <w:r w:rsidR="1611BD5C" w:rsidRPr="00771E87">
        <w:rPr>
          <w:rFonts w:cstheme="minorHAnsi"/>
          <w:sz w:val="24"/>
          <w:szCs w:val="24"/>
          <w:lang w:eastAsia="pl-PL"/>
        </w:rPr>
        <w:t>z ostatniego dnia roboczego poprzedzającego dzień poniesienia kosztu</w:t>
      </w:r>
      <w:r w:rsidRPr="00771E87">
        <w:rPr>
          <w:rFonts w:cstheme="minorHAnsi"/>
          <w:sz w:val="24"/>
          <w:szCs w:val="24"/>
          <w:lang w:eastAsia="pl-PL"/>
        </w:rPr>
        <w:t xml:space="preserve">, </w:t>
      </w:r>
      <w:r w:rsidR="00B121DB" w:rsidRPr="00771E87">
        <w:rPr>
          <w:rFonts w:cstheme="minorHAnsi"/>
          <w:sz w:val="24"/>
          <w:szCs w:val="24"/>
          <w:lang w:eastAsia="pl-PL"/>
        </w:rPr>
        <w:t>w pozostałych przypadkach.</w:t>
      </w:r>
    </w:p>
    <w:p w14:paraId="0353CC9E" w14:textId="1CB2FAAD" w:rsidR="00167C35" w:rsidRPr="00771E87" w:rsidRDefault="452E2D66" w:rsidP="5C24ED9C">
      <w:p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 xml:space="preserve">Wydatki MŚP powinny być odpowiednio udokumentowane w sposób umożliwiający ocenę realizacji przedsięwzięcia </w:t>
      </w:r>
      <w:r w:rsidR="6AA6506A" w:rsidRPr="00771E87">
        <w:rPr>
          <w:rFonts w:cstheme="minorHAnsi"/>
          <w:sz w:val="24"/>
          <w:szCs w:val="24"/>
          <w:lang w:eastAsia="pl-PL"/>
        </w:rPr>
        <w:t xml:space="preserve">MŚP </w:t>
      </w:r>
      <w:r w:rsidRPr="00771E87">
        <w:rPr>
          <w:rFonts w:cstheme="minorHAnsi"/>
          <w:sz w:val="24"/>
          <w:szCs w:val="24"/>
          <w:lang w:eastAsia="pl-PL"/>
        </w:rPr>
        <w:t xml:space="preserve">pod względem finansowym i merytorycznym. </w:t>
      </w:r>
    </w:p>
    <w:p w14:paraId="3AB38B04" w14:textId="51EAA2D6" w:rsidR="001C5D31" w:rsidRPr="00771E87" w:rsidRDefault="3A3AEB9B" w:rsidP="00666F52">
      <w:pPr>
        <w:autoSpaceDE w:val="0"/>
        <w:autoSpaceDN w:val="0"/>
        <w:adjustRightInd w:val="0"/>
        <w:spacing w:after="480" w:line="360" w:lineRule="auto"/>
        <w:rPr>
          <w:rFonts w:cstheme="minorHAnsi"/>
          <w:sz w:val="24"/>
          <w:szCs w:val="24"/>
          <w:lang w:eastAsia="pl-PL"/>
        </w:rPr>
      </w:pPr>
      <w:r w:rsidRPr="00771E87">
        <w:rPr>
          <w:rFonts w:cstheme="minorHAnsi"/>
          <w:sz w:val="24"/>
          <w:szCs w:val="24"/>
          <w:lang w:eastAsia="pl-PL"/>
        </w:rPr>
        <w:t>MŚP korzystając</w:t>
      </w:r>
      <w:r w:rsidR="0447D251" w:rsidRPr="00771E87">
        <w:rPr>
          <w:rFonts w:cstheme="minorHAnsi"/>
          <w:sz w:val="24"/>
          <w:szCs w:val="24"/>
          <w:lang w:eastAsia="pl-PL"/>
        </w:rPr>
        <w:t>e</w:t>
      </w:r>
      <w:r w:rsidRPr="00771E87">
        <w:rPr>
          <w:rFonts w:cstheme="minorHAnsi"/>
          <w:sz w:val="24"/>
          <w:szCs w:val="24"/>
          <w:lang w:eastAsia="pl-PL"/>
        </w:rPr>
        <w:t xml:space="preserve"> ze wsparcia </w:t>
      </w:r>
      <w:r w:rsidR="74375D99" w:rsidRPr="00771E87">
        <w:rPr>
          <w:rFonts w:cstheme="minorHAnsi"/>
          <w:sz w:val="24"/>
          <w:szCs w:val="24"/>
          <w:lang w:eastAsia="pl-PL"/>
        </w:rPr>
        <w:t>jest</w:t>
      </w:r>
      <w:r w:rsidRPr="00771E87">
        <w:rPr>
          <w:rFonts w:cstheme="minorHAnsi"/>
          <w:sz w:val="24"/>
          <w:szCs w:val="24"/>
          <w:lang w:eastAsia="pl-PL"/>
        </w:rPr>
        <w:t xml:space="preserve"> zobowiązan</w:t>
      </w:r>
      <w:r w:rsidR="224F2CAC" w:rsidRPr="00771E87">
        <w:rPr>
          <w:rFonts w:cstheme="minorHAnsi"/>
          <w:sz w:val="24"/>
          <w:szCs w:val="24"/>
          <w:lang w:eastAsia="pl-PL"/>
        </w:rPr>
        <w:t>e</w:t>
      </w:r>
      <w:r w:rsidRPr="00771E87">
        <w:rPr>
          <w:rFonts w:cstheme="minorHAnsi"/>
          <w:sz w:val="24"/>
          <w:szCs w:val="24"/>
          <w:lang w:eastAsia="pl-PL"/>
        </w:rPr>
        <w:t xml:space="preserve"> do prowadzenia wyodrębnionej ewidencji księgowej dla przedsięwzięcia </w:t>
      </w:r>
      <w:r w:rsidR="49044218" w:rsidRPr="00771E87">
        <w:rPr>
          <w:rFonts w:cstheme="minorHAnsi"/>
          <w:sz w:val="24"/>
          <w:szCs w:val="24"/>
          <w:lang w:eastAsia="pl-PL"/>
        </w:rPr>
        <w:t xml:space="preserve">MŚP </w:t>
      </w:r>
      <w:r w:rsidRPr="00771E87">
        <w:rPr>
          <w:rFonts w:cstheme="minorHAnsi"/>
          <w:sz w:val="24"/>
          <w:szCs w:val="24"/>
          <w:lang w:eastAsia="pl-PL"/>
        </w:rPr>
        <w:t>w sposób umożliwiający identyfikację poszczególnych operacji księgowych i bankowych oraz przypisanie ich do poszczególnych komponentów przedsięwzięcia</w:t>
      </w:r>
      <w:r w:rsidR="05F6CD58" w:rsidRPr="00771E87">
        <w:rPr>
          <w:rFonts w:cstheme="minorHAnsi"/>
          <w:sz w:val="24"/>
          <w:szCs w:val="24"/>
          <w:lang w:eastAsia="pl-PL"/>
        </w:rPr>
        <w:t xml:space="preserve"> MŚP</w:t>
      </w:r>
      <w:r w:rsidRPr="00771E87">
        <w:rPr>
          <w:rFonts w:cstheme="minorHAnsi"/>
          <w:sz w:val="24"/>
          <w:szCs w:val="24"/>
          <w:lang w:eastAsia="pl-PL"/>
        </w:rPr>
        <w:t>, tj. części inwestycyjnej, szkoleniowej lub doradczej.</w:t>
      </w:r>
      <w:r w:rsidR="112B4CAA" w:rsidRPr="00771E87">
        <w:rPr>
          <w:rFonts w:cstheme="minorHAnsi"/>
          <w:sz w:val="24"/>
          <w:szCs w:val="24"/>
          <w:lang w:eastAsia="pl-PL"/>
        </w:rPr>
        <w:t xml:space="preserve"> Szczegółowe informacje dotyczące wydatków w ramach poszczególnych komponentów przedsięwzięcia MŚP są zawarte w pkt.</w:t>
      </w:r>
      <w:r w:rsidR="08CD7833" w:rsidRPr="00771E87">
        <w:rPr>
          <w:rFonts w:cstheme="minorHAnsi"/>
          <w:sz w:val="24"/>
          <w:szCs w:val="24"/>
          <w:lang w:eastAsia="pl-PL"/>
        </w:rPr>
        <w:t xml:space="preserve"> 4</w:t>
      </w:r>
      <w:r w:rsidR="2FD9E02B" w:rsidRPr="00771E87">
        <w:rPr>
          <w:rFonts w:cstheme="minorHAnsi"/>
          <w:sz w:val="24"/>
          <w:szCs w:val="24"/>
          <w:lang w:eastAsia="pl-PL"/>
        </w:rPr>
        <w:t>–</w:t>
      </w:r>
      <w:r w:rsidR="08CD7833" w:rsidRPr="00771E87">
        <w:rPr>
          <w:rFonts w:cstheme="minorHAnsi"/>
          <w:sz w:val="24"/>
          <w:szCs w:val="24"/>
          <w:lang w:eastAsia="pl-PL"/>
        </w:rPr>
        <w:t>6.</w:t>
      </w:r>
    </w:p>
    <w:p w14:paraId="7344AA85" w14:textId="58ABD263" w:rsidR="00F20F5B" w:rsidRPr="00771E87" w:rsidRDefault="00211E9D" w:rsidP="00A579EE">
      <w:pPr>
        <w:pStyle w:val="NCBR2Nagowek"/>
        <w:spacing w:after="360"/>
        <w:rPr>
          <w:rFonts w:asciiTheme="minorHAnsi" w:hAnsiTheme="minorHAnsi" w:cstheme="minorHAnsi"/>
          <w:sz w:val="24"/>
          <w:szCs w:val="24"/>
        </w:rPr>
      </w:pPr>
      <w:bookmarkStart w:id="11" w:name="_Toc153712600"/>
      <w:bookmarkStart w:id="12" w:name="_Toc162526814"/>
      <w:r w:rsidRPr="00771E87">
        <w:rPr>
          <w:rFonts w:asciiTheme="minorHAnsi" w:hAnsiTheme="minorHAnsi" w:cstheme="minorHAnsi"/>
          <w:sz w:val="24"/>
          <w:szCs w:val="24"/>
        </w:rPr>
        <w:t>2.</w:t>
      </w:r>
      <w:r w:rsidR="00B57F7A" w:rsidRPr="00771E87">
        <w:rPr>
          <w:rFonts w:asciiTheme="minorHAnsi" w:hAnsiTheme="minorHAnsi" w:cstheme="minorHAnsi"/>
          <w:sz w:val="24"/>
          <w:szCs w:val="24"/>
        </w:rPr>
        <w:t>8</w:t>
      </w:r>
      <w:r w:rsidRPr="00771E87">
        <w:rPr>
          <w:rFonts w:asciiTheme="minorHAnsi" w:hAnsiTheme="minorHAnsi" w:cstheme="minorHAnsi"/>
          <w:sz w:val="24"/>
          <w:szCs w:val="24"/>
        </w:rPr>
        <w:t xml:space="preserve"> </w:t>
      </w:r>
      <w:r w:rsidR="009214DD" w:rsidRPr="00771E87">
        <w:rPr>
          <w:rFonts w:asciiTheme="minorHAnsi" w:hAnsiTheme="minorHAnsi" w:cstheme="minorHAnsi"/>
          <w:sz w:val="24"/>
          <w:szCs w:val="24"/>
        </w:rPr>
        <w:t xml:space="preserve">Zasady dotyczące zamówień </w:t>
      </w:r>
      <w:r w:rsidR="00DB3FC3" w:rsidRPr="00771E87">
        <w:rPr>
          <w:rFonts w:asciiTheme="minorHAnsi" w:hAnsiTheme="minorHAnsi" w:cstheme="minorHAnsi"/>
          <w:sz w:val="24"/>
          <w:szCs w:val="24"/>
        </w:rPr>
        <w:t>(zakupów) MŚP</w:t>
      </w:r>
      <w:bookmarkEnd w:id="11"/>
      <w:bookmarkEnd w:id="12"/>
    </w:p>
    <w:p w14:paraId="2BF4A5A0" w14:textId="77777777" w:rsidR="00666F52" w:rsidRPr="00771E87" w:rsidRDefault="012EA905" w:rsidP="00731CC0">
      <w:pPr>
        <w:keepLines/>
        <w:spacing w:after="120" w:line="360" w:lineRule="auto"/>
        <w:rPr>
          <w:rFonts w:cstheme="minorHAnsi"/>
          <w:sz w:val="24"/>
          <w:szCs w:val="24"/>
        </w:rPr>
      </w:pPr>
      <w:r w:rsidRPr="00771E87">
        <w:rPr>
          <w:rFonts w:cstheme="minorHAnsi"/>
          <w:sz w:val="24"/>
          <w:szCs w:val="24"/>
          <w:lang w:eastAsia="pl-PL"/>
        </w:rPr>
        <w:t>MŚP jest zobowiązan</w:t>
      </w:r>
      <w:r w:rsidR="2CBAE1BD" w:rsidRPr="00771E87">
        <w:rPr>
          <w:rFonts w:cstheme="minorHAnsi"/>
          <w:sz w:val="24"/>
          <w:szCs w:val="24"/>
          <w:lang w:eastAsia="pl-PL"/>
        </w:rPr>
        <w:t>e</w:t>
      </w:r>
      <w:r w:rsidRPr="00771E87">
        <w:rPr>
          <w:rFonts w:cstheme="minorHAnsi"/>
          <w:sz w:val="24"/>
          <w:szCs w:val="24"/>
          <w:lang w:eastAsia="pl-PL"/>
        </w:rPr>
        <w:t xml:space="preserve"> do dokonywania zamówień </w:t>
      </w:r>
      <w:r w:rsidRPr="00771E87">
        <w:rPr>
          <w:rFonts w:cstheme="minorHAnsi"/>
          <w:sz w:val="24"/>
          <w:szCs w:val="24"/>
        </w:rPr>
        <w:t>(zakupów) z zachowaniem zasad przejrzystości</w:t>
      </w:r>
      <w:r w:rsidR="11754D3C" w:rsidRPr="00771E87">
        <w:rPr>
          <w:rFonts w:cstheme="minorHAnsi"/>
          <w:sz w:val="24"/>
          <w:szCs w:val="24"/>
        </w:rPr>
        <w:t>,</w:t>
      </w:r>
      <w:r w:rsidRPr="00771E87">
        <w:rPr>
          <w:rFonts w:cstheme="minorHAnsi"/>
          <w:sz w:val="24"/>
          <w:szCs w:val="24"/>
        </w:rPr>
        <w:t xml:space="preserve"> uczciwej konkurencji</w:t>
      </w:r>
      <w:r w:rsidR="11754D3C" w:rsidRPr="00771E87">
        <w:rPr>
          <w:rFonts w:cstheme="minorHAnsi"/>
          <w:sz w:val="24"/>
          <w:szCs w:val="24"/>
        </w:rPr>
        <w:t xml:space="preserve"> i po cenach</w:t>
      </w:r>
      <w:r w:rsidR="7B765F9C" w:rsidRPr="00771E87">
        <w:rPr>
          <w:rFonts w:cstheme="minorHAnsi"/>
          <w:sz w:val="24"/>
          <w:szCs w:val="24"/>
        </w:rPr>
        <w:t xml:space="preserve"> odpowiadających wartości rynkowej za dane towary, usługi oraz roboty budow</w:t>
      </w:r>
      <w:r w:rsidR="58F14E90" w:rsidRPr="00771E87">
        <w:rPr>
          <w:rFonts w:cstheme="minorHAnsi"/>
          <w:sz w:val="24"/>
          <w:szCs w:val="24"/>
        </w:rPr>
        <w:t>l</w:t>
      </w:r>
      <w:r w:rsidR="7B765F9C" w:rsidRPr="00771E87">
        <w:rPr>
          <w:rFonts w:cstheme="minorHAnsi"/>
          <w:sz w:val="24"/>
          <w:szCs w:val="24"/>
        </w:rPr>
        <w:t>ane.</w:t>
      </w:r>
    </w:p>
    <w:p w14:paraId="712CC410" w14:textId="0C3723A2" w:rsidR="00731CC0" w:rsidRPr="00771E87" w:rsidRDefault="0D149AA9" w:rsidP="00731CC0">
      <w:pPr>
        <w:keepLines/>
        <w:spacing w:after="120" w:line="360" w:lineRule="auto"/>
        <w:rPr>
          <w:rFonts w:cstheme="minorHAnsi"/>
        </w:rPr>
      </w:pPr>
      <w:r w:rsidRPr="00771E87">
        <w:rPr>
          <w:rFonts w:cstheme="minorHAnsi"/>
          <w:sz w:val="24"/>
          <w:szCs w:val="24"/>
        </w:rPr>
        <w:t xml:space="preserve">Przy szacowaniu wartości zamówienia (zakupu) bierze się pod uwagę wyłącznie kwotę netto, </w:t>
      </w:r>
      <w:r w:rsidR="5BB672B5" w:rsidRPr="00771E87">
        <w:rPr>
          <w:rFonts w:cstheme="minorHAnsi"/>
          <w:sz w:val="24"/>
          <w:szCs w:val="24"/>
        </w:rPr>
        <w:t>tj.</w:t>
      </w:r>
      <w:r w:rsidR="00F00B76">
        <w:rPr>
          <w:rFonts w:cstheme="minorHAnsi"/>
          <w:sz w:val="24"/>
          <w:szCs w:val="24"/>
        </w:rPr>
        <w:t> </w:t>
      </w:r>
      <w:r w:rsidRPr="00771E87">
        <w:rPr>
          <w:rFonts w:cstheme="minorHAnsi"/>
          <w:sz w:val="24"/>
          <w:szCs w:val="24"/>
        </w:rPr>
        <w:t>bez podatku VAT.</w:t>
      </w:r>
      <w:r w:rsidR="00731CC0" w:rsidRPr="00771E87">
        <w:rPr>
          <w:rFonts w:cstheme="minorHAnsi"/>
        </w:rPr>
        <w:t xml:space="preserve"> </w:t>
      </w:r>
      <w:r w:rsidR="44268003" w:rsidRPr="00771E87">
        <w:rPr>
          <w:rFonts w:cstheme="minorHAnsi"/>
          <w:sz w:val="24"/>
          <w:szCs w:val="24"/>
        </w:rPr>
        <w:t>Obliczając szacunkową wartość zamówienia bierze się pod uwagę następujące przesłanki</w:t>
      </w:r>
      <w:r w:rsidR="4E38166B" w:rsidRPr="00771E87">
        <w:rPr>
          <w:rFonts w:cstheme="minorHAnsi"/>
          <w:sz w:val="24"/>
          <w:szCs w:val="24"/>
        </w:rPr>
        <w:t xml:space="preserve"> (tożsamości)</w:t>
      </w:r>
      <w:r w:rsidR="44268003" w:rsidRPr="00771E87">
        <w:rPr>
          <w:rFonts w:cstheme="minorHAnsi"/>
          <w:sz w:val="24"/>
          <w:szCs w:val="24"/>
        </w:rPr>
        <w:t>:</w:t>
      </w:r>
    </w:p>
    <w:p w14:paraId="14A5E6C0" w14:textId="77777777" w:rsidR="00731CC0" w:rsidRPr="00771E87" w:rsidRDefault="44268003" w:rsidP="00731CC0">
      <w:pPr>
        <w:keepLines/>
        <w:spacing w:after="120" w:line="360" w:lineRule="auto"/>
        <w:contextualSpacing/>
        <w:rPr>
          <w:rFonts w:cstheme="minorHAnsi"/>
        </w:rPr>
      </w:pPr>
      <w:r w:rsidRPr="00771E87">
        <w:rPr>
          <w:rFonts w:cstheme="minorHAnsi"/>
          <w:sz w:val="24"/>
          <w:szCs w:val="24"/>
        </w:rPr>
        <w:t>a)usługi, dostawy oraz roboty budowlane są tożsame rodzajowo lub funkcjonalnie (tożsamość przedmiotowa)</w:t>
      </w:r>
      <w:r w:rsidR="4E38166B" w:rsidRPr="00771E87">
        <w:rPr>
          <w:rFonts w:cstheme="minorHAnsi"/>
          <w:sz w:val="24"/>
          <w:szCs w:val="24"/>
        </w:rPr>
        <w:t>, przy czym tożsamość rodzajowa dostaw obejmuje dostawy podobne,</w:t>
      </w:r>
    </w:p>
    <w:p w14:paraId="634B5A89" w14:textId="77777777" w:rsidR="00731CC0" w:rsidRPr="00771E87" w:rsidRDefault="4E38166B" w:rsidP="00731CC0">
      <w:pPr>
        <w:keepLines/>
        <w:spacing w:after="120" w:line="360" w:lineRule="auto"/>
        <w:contextualSpacing/>
        <w:rPr>
          <w:rFonts w:cstheme="minorHAnsi"/>
        </w:rPr>
      </w:pPr>
      <w:r w:rsidRPr="00771E87">
        <w:rPr>
          <w:rFonts w:cstheme="minorHAnsi"/>
          <w:sz w:val="24"/>
          <w:szCs w:val="24"/>
        </w:rPr>
        <w:t>b)możliwe jest udzielenie zamówienia w tym samym czasie (tożsamość czasowa),</w:t>
      </w:r>
    </w:p>
    <w:p w14:paraId="11EC891D" w14:textId="6C430CB5" w:rsidR="00666F52" w:rsidRPr="00771E87" w:rsidRDefault="7D16D590" w:rsidP="00731CC0">
      <w:pPr>
        <w:keepLines/>
        <w:spacing w:after="120" w:line="360" w:lineRule="auto"/>
        <w:contextualSpacing/>
        <w:rPr>
          <w:rFonts w:cstheme="minorHAnsi"/>
        </w:rPr>
      </w:pPr>
      <w:r w:rsidRPr="302726D1">
        <w:rPr>
          <w:sz w:val="24"/>
          <w:szCs w:val="24"/>
        </w:rPr>
        <w:t xml:space="preserve">c)możliwe jest wykonanie zamówienia przez jednego wykonawcę (tożsamość podmiotowa). </w:t>
      </w:r>
    </w:p>
    <w:p w14:paraId="4DFD9F10" w14:textId="1ACBF8E8" w:rsidR="302726D1" w:rsidRDefault="302726D1" w:rsidP="302726D1">
      <w:pPr>
        <w:rPr>
          <w:sz w:val="24"/>
          <w:szCs w:val="24"/>
        </w:rPr>
      </w:pPr>
    </w:p>
    <w:p w14:paraId="68701EE7" w14:textId="5E409454" w:rsidR="008A2D82" w:rsidRPr="00771E87" w:rsidRDefault="5AE2602B" w:rsidP="302726D1">
      <w:pPr>
        <w:keepLines/>
        <w:spacing w:after="480" w:line="360" w:lineRule="auto"/>
        <w:rPr>
          <w:sz w:val="24"/>
          <w:szCs w:val="24"/>
        </w:rPr>
      </w:pPr>
      <w:r w:rsidRPr="302726D1">
        <w:rPr>
          <w:sz w:val="24"/>
          <w:szCs w:val="24"/>
        </w:rPr>
        <w:t>W celu uniknięcia konfliktu interesów zamówienia realizowane przez MŚP otrzymujące wsparcie nie mogą być udzielane podmiotom powiązanym z tym MŚP osobowo lub kapitałowo.</w:t>
      </w:r>
    </w:p>
    <w:p w14:paraId="525F6866" w14:textId="4FDCEAC6" w:rsidR="00792EFC" w:rsidRPr="00771E87" w:rsidRDefault="55700D26" w:rsidP="001C5D31">
      <w:pPr>
        <w:shd w:val="clear" w:color="auto" w:fill="FFFFFF" w:themeFill="background1"/>
        <w:spacing w:after="0" w:line="360" w:lineRule="auto"/>
        <w:rPr>
          <w:rFonts w:cstheme="minorHAnsi"/>
          <w:sz w:val="24"/>
          <w:szCs w:val="24"/>
        </w:rPr>
      </w:pPr>
      <w:r w:rsidRPr="00771E87">
        <w:rPr>
          <w:rFonts w:cstheme="minorHAnsi"/>
          <w:sz w:val="24"/>
          <w:szCs w:val="24"/>
        </w:rPr>
        <w:t xml:space="preserve">Przez powiązania osobowe lub kapitałowe, rozumie się powiązania między </w:t>
      </w:r>
      <w:r w:rsidR="009B68C8" w:rsidRPr="00771E87">
        <w:rPr>
          <w:rFonts w:cstheme="minorHAnsi"/>
          <w:sz w:val="24"/>
          <w:szCs w:val="24"/>
        </w:rPr>
        <w:t xml:space="preserve">MŚP a innym </w:t>
      </w:r>
      <w:r w:rsidR="00A105A5" w:rsidRPr="00771E87">
        <w:rPr>
          <w:rFonts w:cstheme="minorHAnsi"/>
          <w:sz w:val="24"/>
          <w:szCs w:val="24"/>
        </w:rPr>
        <w:t>podmiot</w:t>
      </w:r>
      <w:r w:rsidR="3F5072ED" w:rsidRPr="00771E87">
        <w:rPr>
          <w:rFonts w:cstheme="minorHAnsi"/>
          <w:sz w:val="24"/>
          <w:szCs w:val="24"/>
        </w:rPr>
        <w:t>em</w:t>
      </w:r>
      <w:r w:rsidRPr="00771E87">
        <w:rPr>
          <w:rFonts w:cstheme="minorHAnsi"/>
          <w:sz w:val="24"/>
          <w:szCs w:val="24"/>
        </w:rPr>
        <w:t>, polegające na:</w:t>
      </w:r>
    </w:p>
    <w:p w14:paraId="58D04615" w14:textId="5F6E4574" w:rsidR="00792EFC" w:rsidRPr="00771E87" w:rsidRDefault="00792EFC" w:rsidP="001C5D31">
      <w:pPr>
        <w:shd w:val="clear" w:color="auto" w:fill="FFFFFF"/>
        <w:spacing w:after="0" w:line="360" w:lineRule="auto"/>
        <w:rPr>
          <w:rFonts w:cstheme="minorHAnsi"/>
          <w:sz w:val="24"/>
          <w:szCs w:val="24"/>
        </w:rPr>
      </w:pPr>
      <w:r w:rsidRPr="00771E87">
        <w:rPr>
          <w:rFonts w:cstheme="minorHAnsi"/>
          <w:sz w:val="24"/>
          <w:szCs w:val="24"/>
        </w:rPr>
        <w:t>1) uczestniczeniu w spółce jako wspólnik spółki cywilnej lub spółki osobowej;</w:t>
      </w:r>
    </w:p>
    <w:p w14:paraId="0B6A4A56" w14:textId="662ADA44" w:rsidR="00792EFC" w:rsidRPr="00771E87" w:rsidRDefault="00792EFC" w:rsidP="001C5D31">
      <w:pPr>
        <w:shd w:val="clear" w:color="auto" w:fill="FFFFFF"/>
        <w:spacing w:after="0" w:line="360" w:lineRule="auto"/>
        <w:rPr>
          <w:rFonts w:cstheme="minorHAnsi"/>
          <w:sz w:val="24"/>
          <w:szCs w:val="24"/>
        </w:rPr>
      </w:pPr>
      <w:r w:rsidRPr="00771E87">
        <w:rPr>
          <w:rFonts w:cstheme="minorHAnsi"/>
          <w:sz w:val="24"/>
          <w:szCs w:val="24"/>
        </w:rPr>
        <w:lastRenderedPageBreak/>
        <w:t>2) posiadaniu co najmniej 10% udziałów lub akcji;</w:t>
      </w:r>
    </w:p>
    <w:p w14:paraId="6391CABD" w14:textId="75CD843B" w:rsidR="00792EFC" w:rsidRPr="00771E87" w:rsidRDefault="00792EFC" w:rsidP="001C5D31">
      <w:pPr>
        <w:shd w:val="clear" w:color="auto" w:fill="FFFFFF"/>
        <w:spacing w:after="0" w:line="360" w:lineRule="auto"/>
        <w:rPr>
          <w:rFonts w:cstheme="minorHAnsi"/>
          <w:sz w:val="24"/>
          <w:szCs w:val="24"/>
        </w:rPr>
      </w:pPr>
      <w:r w:rsidRPr="00771E87">
        <w:rPr>
          <w:rFonts w:cstheme="minorHAnsi"/>
          <w:sz w:val="24"/>
          <w:szCs w:val="24"/>
        </w:rPr>
        <w:t>3) pełnieniu funkcji członka organu nadzorczego lub zarządzającego, prokurenta, pełnomocnika;</w:t>
      </w:r>
    </w:p>
    <w:p w14:paraId="78438497" w14:textId="72495899" w:rsidR="00792EFC" w:rsidRPr="00771E87" w:rsidRDefault="572E1A42" w:rsidP="00666F52">
      <w:pPr>
        <w:shd w:val="clear" w:color="auto" w:fill="FFFFFF" w:themeFill="background1"/>
        <w:spacing w:after="480" w:line="360" w:lineRule="auto"/>
        <w:rPr>
          <w:rFonts w:cstheme="minorHAnsi"/>
          <w:sz w:val="24"/>
          <w:szCs w:val="24"/>
        </w:rPr>
      </w:pPr>
      <w:r w:rsidRPr="00771E87">
        <w:rPr>
          <w:rFonts w:cstheme="minorHAnsi"/>
          <w:sz w:val="24"/>
          <w:szCs w:val="24"/>
        </w:rPr>
        <w:t xml:space="preserve">4) pozostawaniu w takim stosunku prawnym lub faktycznym, który może budzić uzasadnione wątpliwości co do bezstronności w wyborze wykonawcy, w szczególności pozostawanie w związku małżeńskim, w stosunku pokrewieństwa lub powinowactwa w linii prostej, pokrewieństwa lub </w:t>
      </w:r>
      <w:r w:rsidR="00666F52" w:rsidRPr="00771E87">
        <w:rPr>
          <w:rFonts w:cstheme="minorHAnsi"/>
          <w:sz w:val="24"/>
          <w:szCs w:val="24"/>
        </w:rPr>
        <w:t> </w:t>
      </w:r>
      <w:r w:rsidRPr="00771E87">
        <w:rPr>
          <w:rFonts w:cstheme="minorHAnsi"/>
          <w:sz w:val="24"/>
          <w:szCs w:val="24"/>
        </w:rPr>
        <w:t>powinowactwa w linii bocznej do drugiego stopnia lub w stosunku przysposobienia, opieki</w:t>
      </w:r>
      <w:r w:rsidR="00684BB3" w:rsidRPr="00771E87">
        <w:rPr>
          <w:rFonts w:cstheme="minorHAnsi"/>
          <w:sz w:val="24"/>
          <w:szCs w:val="24"/>
        </w:rPr>
        <w:t xml:space="preserve"> </w:t>
      </w:r>
      <w:r w:rsidRPr="00771E87">
        <w:rPr>
          <w:rFonts w:cstheme="minorHAnsi"/>
          <w:sz w:val="24"/>
          <w:szCs w:val="24"/>
        </w:rPr>
        <w:t xml:space="preserve">lub </w:t>
      </w:r>
      <w:r w:rsidR="00666F52" w:rsidRPr="00771E87">
        <w:rPr>
          <w:rFonts w:cstheme="minorHAnsi"/>
          <w:sz w:val="24"/>
          <w:szCs w:val="24"/>
        </w:rPr>
        <w:t> </w:t>
      </w:r>
      <w:r w:rsidRPr="00771E87">
        <w:rPr>
          <w:rFonts w:cstheme="minorHAnsi"/>
          <w:sz w:val="24"/>
          <w:szCs w:val="24"/>
        </w:rPr>
        <w:t>kurateli.</w:t>
      </w:r>
    </w:p>
    <w:p w14:paraId="115318E2" w14:textId="739D7767" w:rsidR="00F20F5B" w:rsidRPr="00771E87" w:rsidRDefault="00211E9D" w:rsidP="00A579EE">
      <w:pPr>
        <w:pStyle w:val="NCBR2Nagowek"/>
        <w:spacing w:after="480"/>
        <w:rPr>
          <w:rFonts w:asciiTheme="minorHAnsi" w:hAnsiTheme="minorHAnsi" w:cstheme="minorHAnsi"/>
          <w:sz w:val="24"/>
          <w:szCs w:val="24"/>
        </w:rPr>
      </w:pPr>
      <w:bookmarkStart w:id="13" w:name="_Toc147919551"/>
      <w:bookmarkStart w:id="14" w:name="_Toc147919552"/>
      <w:bookmarkStart w:id="15" w:name="_Toc147919553"/>
      <w:bookmarkStart w:id="16" w:name="_Toc147919554"/>
      <w:bookmarkStart w:id="17" w:name="_Toc147919555"/>
      <w:bookmarkStart w:id="18" w:name="_Toc162526815"/>
      <w:bookmarkStart w:id="19" w:name="_Toc153712601"/>
      <w:bookmarkEnd w:id="13"/>
      <w:bookmarkEnd w:id="14"/>
      <w:bookmarkEnd w:id="15"/>
      <w:bookmarkEnd w:id="16"/>
      <w:bookmarkEnd w:id="17"/>
      <w:r w:rsidRPr="00771E87">
        <w:rPr>
          <w:rFonts w:asciiTheme="minorHAnsi" w:hAnsiTheme="minorHAnsi" w:cstheme="minorHAnsi"/>
          <w:sz w:val="24"/>
          <w:szCs w:val="24"/>
        </w:rPr>
        <w:t>2.</w:t>
      </w:r>
      <w:r w:rsidR="00B57F7A" w:rsidRPr="00771E87">
        <w:rPr>
          <w:rFonts w:asciiTheme="minorHAnsi" w:hAnsiTheme="minorHAnsi" w:cstheme="minorHAnsi"/>
          <w:sz w:val="24"/>
          <w:szCs w:val="24"/>
        </w:rPr>
        <w:t>8</w:t>
      </w:r>
      <w:r w:rsidRPr="00771E87">
        <w:rPr>
          <w:rFonts w:asciiTheme="minorHAnsi" w:hAnsiTheme="minorHAnsi" w:cstheme="minorHAnsi"/>
          <w:sz w:val="24"/>
          <w:szCs w:val="24"/>
        </w:rPr>
        <w:t xml:space="preserve">.1 </w:t>
      </w:r>
      <w:r w:rsidR="009246CE" w:rsidRPr="00771E87">
        <w:rPr>
          <w:rFonts w:asciiTheme="minorHAnsi" w:hAnsiTheme="minorHAnsi" w:cstheme="minorHAnsi"/>
          <w:sz w:val="24"/>
          <w:szCs w:val="24"/>
        </w:rPr>
        <w:t>Zamówienia publiczne</w:t>
      </w:r>
      <w:bookmarkEnd w:id="18"/>
    </w:p>
    <w:p w14:paraId="273466F2" w14:textId="77777777" w:rsidR="00666F52" w:rsidRPr="00771E87" w:rsidRDefault="57BA99DE" w:rsidP="004B3A93">
      <w:pPr>
        <w:spacing w:line="360" w:lineRule="auto"/>
        <w:rPr>
          <w:rFonts w:cstheme="minorHAnsi"/>
          <w:sz w:val="24"/>
          <w:szCs w:val="24"/>
        </w:rPr>
      </w:pPr>
      <w:r w:rsidRPr="302726D1">
        <w:rPr>
          <w:sz w:val="24"/>
          <w:szCs w:val="24"/>
        </w:rPr>
        <w:t xml:space="preserve">Podmioty będące zamawiającymi w rozumieniu </w:t>
      </w:r>
      <w:proofErr w:type="spellStart"/>
      <w:r w:rsidR="0698A11E" w:rsidRPr="302726D1">
        <w:rPr>
          <w:sz w:val="24"/>
          <w:szCs w:val="24"/>
        </w:rPr>
        <w:t>Pzp</w:t>
      </w:r>
      <w:proofErr w:type="spellEnd"/>
      <w:r w:rsidRPr="302726D1">
        <w:rPr>
          <w:sz w:val="24"/>
          <w:szCs w:val="24"/>
        </w:rPr>
        <w:t xml:space="preserve"> </w:t>
      </w:r>
      <w:r w:rsidR="15C4318D" w:rsidRPr="302726D1">
        <w:rPr>
          <w:sz w:val="24"/>
          <w:szCs w:val="24"/>
        </w:rPr>
        <w:t xml:space="preserve">są zobowiązane do </w:t>
      </w:r>
      <w:r w:rsidR="467FC6F8" w:rsidRPr="302726D1">
        <w:rPr>
          <w:sz w:val="24"/>
          <w:szCs w:val="24"/>
        </w:rPr>
        <w:t>bezpośredniego stosowania przepisów tejże ustawy</w:t>
      </w:r>
      <w:r w:rsidR="008A2D82" w:rsidRPr="302726D1">
        <w:rPr>
          <w:rStyle w:val="Odwoanieprzypisudolnego"/>
          <w:sz w:val="24"/>
          <w:szCs w:val="24"/>
        </w:rPr>
        <w:footnoteReference w:id="5"/>
      </w:r>
      <w:r w:rsidR="467FC6F8" w:rsidRPr="302726D1">
        <w:rPr>
          <w:sz w:val="24"/>
          <w:szCs w:val="24"/>
        </w:rPr>
        <w:t xml:space="preserve">. Konieczność stosowania przepisów </w:t>
      </w:r>
      <w:proofErr w:type="spellStart"/>
      <w:r w:rsidR="467FC6F8" w:rsidRPr="302726D1">
        <w:rPr>
          <w:sz w:val="24"/>
          <w:szCs w:val="24"/>
        </w:rPr>
        <w:t>Pzp</w:t>
      </w:r>
      <w:proofErr w:type="spellEnd"/>
      <w:r w:rsidR="467FC6F8" w:rsidRPr="302726D1">
        <w:rPr>
          <w:sz w:val="24"/>
          <w:szCs w:val="24"/>
        </w:rPr>
        <w:t xml:space="preserve"> może również wynikać w szczególnych przypadkach z </w:t>
      </w:r>
      <w:r w:rsidR="66CDC711" w:rsidRPr="302726D1">
        <w:rPr>
          <w:sz w:val="24"/>
          <w:szCs w:val="24"/>
        </w:rPr>
        <w:t>warunków bezpośredn</w:t>
      </w:r>
      <w:r w:rsidR="57C83191" w:rsidRPr="302726D1">
        <w:rPr>
          <w:sz w:val="24"/>
          <w:szCs w:val="24"/>
        </w:rPr>
        <w:t>i</w:t>
      </w:r>
      <w:r w:rsidR="66CDC711" w:rsidRPr="302726D1">
        <w:rPr>
          <w:sz w:val="24"/>
          <w:szCs w:val="24"/>
        </w:rPr>
        <w:t>o zawartych w umowie</w:t>
      </w:r>
      <w:r w:rsidR="15FD83C9" w:rsidRPr="302726D1">
        <w:rPr>
          <w:sz w:val="24"/>
          <w:szCs w:val="24"/>
        </w:rPr>
        <w:t xml:space="preserve"> o objęcie przedsięwzięcia MŚP wsparciem</w:t>
      </w:r>
      <w:r w:rsidR="57C83191" w:rsidRPr="302726D1">
        <w:rPr>
          <w:sz w:val="24"/>
          <w:szCs w:val="24"/>
        </w:rPr>
        <w:t>.</w:t>
      </w:r>
    </w:p>
    <w:p w14:paraId="60FAA0C4" w14:textId="77777777" w:rsidR="00666F52" w:rsidRPr="00771E87" w:rsidRDefault="0C05290E" w:rsidP="004B3A93">
      <w:pPr>
        <w:spacing w:line="360" w:lineRule="auto"/>
        <w:rPr>
          <w:rFonts w:cstheme="minorHAnsi"/>
          <w:sz w:val="24"/>
          <w:szCs w:val="24"/>
        </w:rPr>
      </w:pPr>
      <w:r w:rsidRPr="00771E87">
        <w:rPr>
          <w:rFonts w:cstheme="minorHAnsi"/>
          <w:sz w:val="24"/>
          <w:szCs w:val="24"/>
        </w:rPr>
        <w:t xml:space="preserve">Jeżeli natomiast nie mamy do czynienia z koniecznością stosowania </w:t>
      </w:r>
      <w:proofErr w:type="spellStart"/>
      <w:r w:rsidRPr="00771E87">
        <w:rPr>
          <w:rFonts w:cstheme="minorHAnsi"/>
          <w:sz w:val="24"/>
          <w:szCs w:val="24"/>
        </w:rPr>
        <w:t>Pzp</w:t>
      </w:r>
      <w:proofErr w:type="spellEnd"/>
      <w:r w:rsidR="4F12E069" w:rsidRPr="00771E87">
        <w:rPr>
          <w:rFonts w:cstheme="minorHAnsi"/>
          <w:sz w:val="24"/>
          <w:szCs w:val="24"/>
        </w:rPr>
        <w:t>,</w:t>
      </w:r>
      <w:r w:rsidRPr="00771E87">
        <w:rPr>
          <w:rFonts w:cstheme="minorHAnsi"/>
          <w:sz w:val="24"/>
          <w:szCs w:val="24"/>
        </w:rPr>
        <w:t xml:space="preserve"> </w:t>
      </w:r>
      <w:r w:rsidR="44562516" w:rsidRPr="00771E87">
        <w:rPr>
          <w:rFonts w:cstheme="minorHAnsi"/>
          <w:sz w:val="24"/>
          <w:szCs w:val="24"/>
        </w:rPr>
        <w:t>to zamówienia (zakupy) MŚP dokonuje zgodnie z zasadami określonymi w pkt. 2.8.2 oraz 2.8.3, w zależności od szacowanej z należytą starannością wartości zamówienia (zakupu) w kwocie netto, bez podatku VAT.</w:t>
      </w:r>
    </w:p>
    <w:p w14:paraId="304BADF5" w14:textId="0278E088" w:rsidR="0020753B" w:rsidRPr="00771E87" w:rsidRDefault="1A96CC74" w:rsidP="004B3A93">
      <w:pPr>
        <w:spacing w:line="360" w:lineRule="auto"/>
        <w:rPr>
          <w:rFonts w:cstheme="minorHAnsi"/>
          <w:sz w:val="24"/>
          <w:szCs w:val="24"/>
        </w:rPr>
      </w:pPr>
      <w:r w:rsidRPr="00771E87">
        <w:rPr>
          <w:rFonts w:cstheme="minorHAnsi"/>
          <w:sz w:val="24"/>
          <w:szCs w:val="24"/>
        </w:rPr>
        <w:t>Zabronione jest zaniżanie wartości szacunkowej zamówienia lub jego podział skutkujący zaniżeniem jego wartości szacunkowej poniżej 50 tys. PLN netto w celu wyłączenia zamówienia</w:t>
      </w:r>
      <w:r w:rsidR="0DC1EF21" w:rsidRPr="00771E87">
        <w:rPr>
          <w:rFonts w:cstheme="minorHAnsi"/>
          <w:sz w:val="24"/>
          <w:szCs w:val="24"/>
        </w:rPr>
        <w:t xml:space="preserve"> </w:t>
      </w:r>
      <w:r w:rsidRPr="00771E87">
        <w:rPr>
          <w:rFonts w:cstheme="minorHAnsi"/>
          <w:sz w:val="24"/>
          <w:szCs w:val="24"/>
        </w:rPr>
        <w:t xml:space="preserve">z </w:t>
      </w:r>
      <w:r w:rsidR="00666F52" w:rsidRPr="00771E87">
        <w:rPr>
          <w:rFonts w:cstheme="minorHAnsi"/>
          <w:sz w:val="24"/>
          <w:szCs w:val="24"/>
        </w:rPr>
        <w:t> </w:t>
      </w:r>
      <w:r w:rsidRPr="00771E87">
        <w:rPr>
          <w:rFonts w:cstheme="minorHAnsi"/>
          <w:sz w:val="24"/>
          <w:szCs w:val="24"/>
        </w:rPr>
        <w:t>zakresu stosowania zasady konkurencyjności, o której mowa w pkt. 2.8.3.</w:t>
      </w:r>
    </w:p>
    <w:p w14:paraId="6B320382" w14:textId="69B3C760" w:rsidR="00F20F5B" w:rsidRPr="00771E87" w:rsidRDefault="33533C7F" w:rsidP="00A579EE">
      <w:pPr>
        <w:pStyle w:val="NCBR2Nagowek"/>
        <w:spacing w:after="480"/>
        <w:rPr>
          <w:rFonts w:asciiTheme="minorHAnsi" w:hAnsiTheme="minorHAnsi" w:cstheme="minorHAnsi"/>
          <w:sz w:val="24"/>
          <w:szCs w:val="24"/>
        </w:rPr>
      </w:pPr>
      <w:bookmarkStart w:id="20" w:name="_Toc162526816"/>
      <w:r w:rsidRPr="00771E87">
        <w:rPr>
          <w:rFonts w:asciiTheme="minorHAnsi" w:hAnsiTheme="minorHAnsi" w:cstheme="minorHAnsi"/>
          <w:sz w:val="24"/>
          <w:szCs w:val="24"/>
        </w:rPr>
        <w:t>2.</w:t>
      </w:r>
      <w:r w:rsidR="02F5CA73" w:rsidRPr="00771E87">
        <w:rPr>
          <w:rFonts w:asciiTheme="minorHAnsi" w:hAnsiTheme="minorHAnsi" w:cstheme="minorHAnsi"/>
          <w:sz w:val="24"/>
          <w:szCs w:val="24"/>
        </w:rPr>
        <w:t>8</w:t>
      </w:r>
      <w:r w:rsidRPr="00771E87">
        <w:rPr>
          <w:rFonts w:asciiTheme="minorHAnsi" w:hAnsiTheme="minorHAnsi" w:cstheme="minorHAnsi"/>
          <w:sz w:val="24"/>
          <w:szCs w:val="24"/>
        </w:rPr>
        <w:t xml:space="preserve">.2 </w:t>
      </w:r>
      <w:r w:rsidR="0EA835A1" w:rsidRPr="00771E87">
        <w:rPr>
          <w:rFonts w:asciiTheme="minorHAnsi" w:hAnsiTheme="minorHAnsi" w:cstheme="minorHAnsi"/>
          <w:sz w:val="24"/>
          <w:szCs w:val="24"/>
        </w:rPr>
        <w:t>Zamówienia</w:t>
      </w:r>
      <w:r w:rsidR="04898300" w:rsidRPr="00771E87">
        <w:rPr>
          <w:rFonts w:asciiTheme="minorHAnsi" w:hAnsiTheme="minorHAnsi" w:cstheme="minorHAnsi"/>
          <w:sz w:val="24"/>
          <w:szCs w:val="24"/>
        </w:rPr>
        <w:t xml:space="preserve"> (zakupy)</w:t>
      </w:r>
      <w:r w:rsidR="0EA835A1" w:rsidRPr="00771E87">
        <w:rPr>
          <w:rFonts w:asciiTheme="minorHAnsi" w:hAnsiTheme="minorHAnsi" w:cstheme="minorHAnsi"/>
          <w:sz w:val="24"/>
          <w:szCs w:val="24"/>
        </w:rPr>
        <w:t xml:space="preserve"> o wartości do 50 tys. PLN</w:t>
      </w:r>
      <w:r w:rsidR="625971FC" w:rsidRPr="00771E87">
        <w:rPr>
          <w:rFonts w:asciiTheme="minorHAnsi" w:hAnsiTheme="minorHAnsi" w:cstheme="minorHAnsi"/>
          <w:sz w:val="24"/>
          <w:szCs w:val="24"/>
        </w:rPr>
        <w:t xml:space="preserve"> netto</w:t>
      </w:r>
      <w:bookmarkEnd w:id="19"/>
      <w:bookmarkEnd w:id="20"/>
    </w:p>
    <w:p w14:paraId="442D28A1" w14:textId="77777777" w:rsidR="00666F52" w:rsidRPr="00771E87" w:rsidRDefault="7F995F8F" w:rsidP="0FD956A3">
      <w:pPr>
        <w:autoSpaceDE w:val="0"/>
        <w:autoSpaceDN w:val="0"/>
        <w:adjustRightInd w:val="0"/>
        <w:spacing w:after="0" w:line="360" w:lineRule="auto"/>
        <w:rPr>
          <w:rFonts w:cstheme="minorHAnsi"/>
          <w:sz w:val="24"/>
          <w:szCs w:val="24"/>
        </w:rPr>
      </w:pPr>
      <w:r w:rsidRPr="00771E87">
        <w:rPr>
          <w:rFonts w:cstheme="minorHAnsi"/>
          <w:sz w:val="24"/>
          <w:szCs w:val="24"/>
        </w:rPr>
        <w:t>MŚP dokonuje</w:t>
      </w:r>
      <w:r w:rsidR="310481A0" w:rsidRPr="00771E87">
        <w:rPr>
          <w:rFonts w:cstheme="minorHAnsi"/>
          <w:sz w:val="24"/>
          <w:szCs w:val="24"/>
        </w:rPr>
        <w:t xml:space="preserve"> zamówień o wartości do 50 tys. PLN netto włącznie, tj. bez podatku VAT</w:t>
      </w:r>
      <w:r w:rsidR="5BFD6226" w:rsidRPr="00771E87">
        <w:rPr>
          <w:rFonts w:cstheme="minorHAnsi"/>
          <w:sz w:val="24"/>
          <w:szCs w:val="24"/>
        </w:rPr>
        <w:t>,</w:t>
      </w:r>
      <w:r w:rsidR="4E7954C2" w:rsidRPr="00771E87">
        <w:rPr>
          <w:rFonts w:cstheme="minorHAnsi"/>
          <w:sz w:val="24"/>
          <w:szCs w:val="24"/>
        </w:rPr>
        <w:t xml:space="preserve"> </w:t>
      </w:r>
      <w:r w:rsidRPr="00771E87">
        <w:rPr>
          <w:rFonts w:cstheme="minorHAnsi"/>
          <w:sz w:val="24"/>
          <w:szCs w:val="24"/>
        </w:rPr>
        <w:t xml:space="preserve">z należytą starannością, w sposób racjonalny i </w:t>
      </w:r>
      <w:r w:rsidR="3C876819" w:rsidRPr="00771E87">
        <w:rPr>
          <w:rFonts w:cstheme="minorHAnsi"/>
          <w:sz w:val="24"/>
          <w:szCs w:val="24"/>
        </w:rPr>
        <w:t>po cenach rynkowych.</w:t>
      </w:r>
    </w:p>
    <w:p w14:paraId="26505AAE" w14:textId="094FA519" w:rsidR="00590812" w:rsidRPr="00771E87" w:rsidRDefault="14C0B446" w:rsidP="00666F52">
      <w:pPr>
        <w:autoSpaceDE w:val="0"/>
        <w:autoSpaceDN w:val="0"/>
        <w:adjustRightInd w:val="0"/>
        <w:spacing w:after="360" w:line="360" w:lineRule="auto"/>
        <w:rPr>
          <w:rFonts w:cstheme="minorHAnsi"/>
          <w:sz w:val="24"/>
          <w:szCs w:val="24"/>
        </w:rPr>
      </w:pPr>
      <w:r w:rsidRPr="00771E87">
        <w:rPr>
          <w:rFonts w:cstheme="minorHAnsi"/>
          <w:sz w:val="24"/>
          <w:szCs w:val="24"/>
        </w:rPr>
        <w:t>W przypadku zamówień o wartości do 50 tys. PLN netto zawarcie pisemnej umowy z wykonawcą nie jest wymagane. W takim przypadku wystarczające jest potwierdzenie poniesienia wydatku</w:t>
      </w:r>
      <w:r w:rsidR="00C3305A" w:rsidRPr="00771E87">
        <w:rPr>
          <w:rFonts w:cstheme="minorHAnsi"/>
          <w:sz w:val="24"/>
          <w:szCs w:val="24"/>
        </w:rPr>
        <w:t xml:space="preserve"> </w:t>
      </w:r>
      <w:r w:rsidRPr="00771E87">
        <w:rPr>
          <w:rFonts w:cstheme="minorHAnsi"/>
          <w:sz w:val="24"/>
          <w:szCs w:val="24"/>
        </w:rPr>
        <w:t>w</w:t>
      </w:r>
      <w:r w:rsidR="008C1401" w:rsidRPr="00771E87">
        <w:rPr>
          <w:rFonts w:cstheme="minorHAnsi"/>
          <w:sz w:val="24"/>
          <w:szCs w:val="24"/>
        </w:rPr>
        <w:t> </w:t>
      </w:r>
      <w:r w:rsidRPr="00771E87">
        <w:rPr>
          <w:rFonts w:cstheme="minorHAnsi"/>
          <w:sz w:val="24"/>
          <w:szCs w:val="24"/>
        </w:rPr>
        <w:t>oparciu o fakturę, rachunek lub inny dokument księgowy o równoważnej wartości dowodowej.</w:t>
      </w:r>
    </w:p>
    <w:p w14:paraId="29E0C732" w14:textId="76F440F2" w:rsidR="00590812" w:rsidRPr="00771E87" w:rsidRDefault="0485A5E2" w:rsidP="00666F52">
      <w:pPr>
        <w:autoSpaceDE w:val="0"/>
        <w:autoSpaceDN w:val="0"/>
        <w:adjustRightInd w:val="0"/>
        <w:spacing w:after="360" w:line="360" w:lineRule="auto"/>
        <w:rPr>
          <w:rFonts w:cstheme="minorHAnsi"/>
          <w:sz w:val="24"/>
          <w:szCs w:val="24"/>
        </w:rPr>
      </w:pPr>
      <w:r w:rsidRPr="00771E87">
        <w:rPr>
          <w:rFonts w:cstheme="minorHAnsi"/>
          <w:sz w:val="24"/>
          <w:szCs w:val="24"/>
        </w:rPr>
        <w:lastRenderedPageBreak/>
        <w:t>W przypadku, gdy na etapie rozliczenia wydatku o wartości do 50 tys. PLN netto pojawi</w:t>
      </w:r>
      <w:r w:rsidR="00684BB3" w:rsidRPr="00771E87">
        <w:rPr>
          <w:rFonts w:cstheme="minorHAnsi"/>
          <w:sz w:val="24"/>
          <w:szCs w:val="24"/>
        </w:rPr>
        <w:t xml:space="preserve"> </w:t>
      </w:r>
      <w:r w:rsidRPr="00771E87">
        <w:rPr>
          <w:rFonts w:cstheme="minorHAnsi"/>
          <w:sz w:val="24"/>
          <w:szCs w:val="24"/>
        </w:rPr>
        <w:t>się uzasadnione podejrzenie zawyżonej ceny</w:t>
      </w:r>
      <w:r w:rsidR="488AC4B1" w:rsidRPr="00771E87">
        <w:rPr>
          <w:rFonts w:cstheme="minorHAnsi"/>
          <w:sz w:val="24"/>
          <w:szCs w:val="24"/>
        </w:rPr>
        <w:t>,</w:t>
      </w:r>
      <w:r w:rsidRPr="00771E87">
        <w:rPr>
          <w:rFonts w:cstheme="minorHAnsi"/>
          <w:sz w:val="24"/>
          <w:szCs w:val="24"/>
        </w:rPr>
        <w:t xml:space="preserve"> MŚP jest zobowiązane przedstawić odpowiednie wyjaśnienia</w:t>
      </w:r>
      <w:r w:rsidR="0C6D8179" w:rsidRPr="00771E87">
        <w:rPr>
          <w:rFonts w:cstheme="minorHAnsi"/>
          <w:sz w:val="24"/>
          <w:szCs w:val="24"/>
        </w:rPr>
        <w:t>, pod rygorem nieuznania wydatku za kwalifikowalny w całości.</w:t>
      </w:r>
    </w:p>
    <w:p w14:paraId="3405AB47" w14:textId="26CC848E" w:rsidR="00F20F5B" w:rsidRPr="00771E87" w:rsidRDefault="00590812" w:rsidP="00666F52">
      <w:pPr>
        <w:spacing w:after="480" w:line="360" w:lineRule="auto"/>
        <w:rPr>
          <w:rFonts w:cstheme="minorHAnsi"/>
          <w:sz w:val="24"/>
          <w:szCs w:val="24"/>
        </w:rPr>
      </w:pPr>
      <w:r w:rsidRPr="00771E87">
        <w:rPr>
          <w:rFonts w:cstheme="minorHAnsi"/>
          <w:sz w:val="24"/>
          <w:szCs w:val="24"/>
        </w:rPr>
        <w:t xml:space="preserve">W przypadku zamówień o wartości do 50 tys. PLN netto włącznie, MŚP może zastosować zasadę konkurencyjności, o której mowa w pkt. 2.8.3 (nie jest to obligatoryjne i leży w </w:t>
      </w:r>
      <w:r w:rsidR="007D7C8B" w:rsidRPr="00771E87">
        <w:rPr>
          <w:rFonts w:cstheme="minorHAnsi"/>
          <w:sz w:val="24"/>
          <w:szCs w:val="24"/>
        </w:rPr>
        <w:t>gestii MŚP).</w:t>
      </w:r>
    </w:p>
    <w:p w14:paraId="79E7D89A" w14:textId="1CEC7904" w:rsidR="00F20F5B" w:rsidRPr="00771E87" w:rsidRDefault="3E86BE84" w:rsidP="00A579EE">
      <w:pPr>
        <w:pStyle w:val="NCBR2Nagowek"/>
        <w:spacing w:after="480"/>
        <w:rPr>
          <w:rFonts w:asciiTheme="minorHAnsi" w:hAnsiTheme="minorHAnsi" w:cstheme="minorHAnsi"/>
          <w:sz w:val="24"/>
          <w:szCs w:val="24"/>
        </w:rPr>
      </w:pPr>
      <w:bookmarkStart w:id="21" w:name="_Toc153712602"/>
      <w:bookmarkStart w:id="22" w:name="_Toc162526817"/>
      <w:r w:rsidRPr="00771E87">
        <w:rPr>
          <w:rFonts w:asciiTheme="minorHAnsi" w:hAnsiTheme="minorHAnsi" w:cstheme="minorHAnsi"/>
          <w:sz w:val="24"/>
          <w:szCs w:val="24"/>
        </w:rPr>
        <w:t>2.</w:t>
      </w:r>
      <w:r w:rsidR="55DB51A7" w:rsidRPr="00771E87">
        <w:rPr>
          <w:rFonts w:asciiTheme="minorHAnsi" w:hAnsiTheme="minorHAnsi" w:cstheme="minorHAnsi"/>
          <w:sz w:val="24"/>
          <w:szCs w:val="24"/>
        </w:rPr>
        <w:t>8.3</w:t>
      </w:r>
      <w:r w:rsidRPr="00771E87">
        <w:rPr>
          <w:rFonts w:asciiTheme="minorHAnsi" w:hAnsiTheme="minorHAnsi" w:cstheme="minorHAnsi"/>
          <w:sz w:val="24"/>
          <w:szCs w:val="24"/>
        </w:rPr>
        <w:t xml:space="preserve"> </w:t>
      </w:r>
      <w:r w:rsidR="6D2C8CC3" w:rsidRPr="00771E87">
        <w:rPr>
          <w:rFonts w:asciiTheme="minorHAnsi" w:hAnsiTheme="minorHAnsi" w:cstheme="minorHAnsi"/>
          <w:sz w:val="24"/>
          <w:szCs w:val="24"/>
        </w:rPr>
        <w:t>Zasada konkurencyjności</w:t>
      </w:r>
      <w:bookmarkEnd w:id="21"/>
      <w:r w:rsidR="60B91470" w:rsidRPr="00771E87">
        <w:rPr>
          <w:rFonts w:asciiTheme="minorHAnsi" w:hAnsiTheme="minorHAnsi" w:cstheme="minorHAnsi"/>
          <w:sz w:val="24"/>
          <w:szCs w:val="24"/>
        </w:rPr>
        <w:t xml:space="preserve"> dla zamówień powyżej 50 tys. PLN</w:t>
      </w:r>
      <w:r w:rsidR="4614E2B9" w:rsidRPr="00771E87">
        <w:rPr>
          <w:rFonts w:asciiTheme="minorHAnsi" w:hAnsiTheme="minorHAnsi" w:cstheme="minorHAnsi"/>
          <w:sz w:val="24"/>
          <w:szCs w:val="24"/>
        </w:rPr>
        <w:t xml:space="preserve"> netto</w:t>
      </w:r>
      <w:bookmarkEnd w:id="22"/>
    </w:p>
    <w:p w14:paraId="336EDF3C" w14:textId="00E07041" w:rsidR="005F6468" w:rsidRPr="00771E87" w:rsidRDefault="628E99E5" w:rsidP="450F1B5E">
      <w:pPr>
        <w:autoSpaceDE w:val="0"/>
        <w:autoSpaceDN w:val="0"/>
        <w:adjustRightInd w:val="0"/>
        <w:spacing w:after="0" w:line="360" w:lineRule="auto"/>
        <w:rPr>
          <w:rFonts w:cstheme="minorHAnsi"/>
          <w:sz w:val="24"/>
          <w:szCs w:val="24"/>
        </w:rPr>
      </w:pPr>
      <w:r w:rsidRPr="00771E87">
        <w:rPr>
          <w:rFonts w:cstheme="minorHAnsi"/>
          <w:sz w:val="24"/>
          <w:szCs w:val="24"/>
        </w:rPr>
        <w:t>MŚP dokonuje zamówień (zakupów) powyżej 50 tys. PLN netto zgodnie z zasadą konkurencyjności</w:t>
      </w:r>
      <w:r w:rsidR="253106F2" w:rsidRPr="00771E87">
        <w:rPr>
          <w:rFonts w:cstheme="minorHAnsi"/>
          <w:sz w:val="24"/>
          <w:szCs w:val="24"/>
        </w:rPr>
        <w:t xml:space="preserve">, z wykorzystaniem aplikacji Baza Konkurencyjności </w:t>
      </w:r>
      <w:r w:rsidR="03A31F1F" w:rsidRPr="00771E87">
        <w:rPr>
          <w:rFonts w:cstheme="minorHAnsi"/>
          <w:sz w:val="24"/>
          <w:szCs w:val="24"/>
        </w:rPr>
        <w:t>(BK2021) dostępnej pod adresem</w:t>
      </w:r>
      <w:r w:rsidR="20D66AE0" w:rsidRPr="00771E87">
        <w:rPr>
          <w:rFonts w:cstheme="minorHAnsi"/>
          <w:sz w:val="24"/>
          <w:szCs w:val="24"/>
        </w:rPr>
        <w:t xml:space="preserve"> internetowym:</w:t>
      </w:r>
      <w:r w:rsidR="03A31F1F" w:rsidRPr="00771E87">
        <w:rPr>
          <w:rFonts w:cstheme="minorHAnsi"/>
          <w:sz w:val="24"/>
          <w:szCs w:val="24"/>
        </w:rPr>
        <w:t xml:space="preserve"> </w:t>
      </w:r>
      <w:hyperlink r:id="rId12">
        <w:r w:rsidR="09106454" w:rsidRPr="00771E87">
          <w:rPr>
            <w:rStyle w:val="Hipercze"/>
            <w:rFonts w:cstheme="minorHAnsi"/>
            <w:sz w:val="24"/>
            <w:szCs w:val="24"/>
          </w:rPr>
          <w:t>https://bazakonkurencyjnosci.funduszeeuropejskie.gov.pl</w:t>
        </w:r>
      </w:hyperlink>
      <w:r w:rsidR="362E4C56" w:rsidRPr="00771E87">
        <w:rPr>
          <w:rFonts w:cstheme="minorHAnsi"/>
          <w:sz w:val="24"/>
          <w:szCs w:val="24"/>
        </w:rPr>
        <w:t>.</w:t>
      </w:r>
    </w:p>
    <w:p w14:paraId="7A357290" w14:textId="724A842A" w:rsidR="005F6468" w:rsidRPr="00771E87" w:rsidRDefault="03A31F1F" w:rsidP="0FD956A3">
      <w:pPr>
        <w:autoSpaceDE w:val="0"/>
        <w:autoSpaceDN w:val="0"/>
        <w:adjustRightInd w:val="0"/>
        <w:spacing w:after="0" w:line="360" w:lineRule="auto"/>
        <w:rPr>
          <w:rFonts w:cstheme="minorHAnsi"/>
          <w:sz w:val="24"/>
          <w:szCs w:val="24"/>
        </w:rPr>
      </w:pPr>
      <w:r w:rsidRPr="00771E87">
        <w:rPr>
          <w:rFonts w:cstheme="minorHAnsi"/>
          <w:sz w:val="24"/>
          <w:szCs w:val="24"/>
        </w:rPr>
        <w:t>BK2021 – jest to strona interneto</w:t>
      </w:r>
      <w:r w:rsidR="053A5FB3" w:rsidRPr="00771E87">
        <w:rPr>
          <w:rFonts w:cstheme="minorHAnsi"/>
          <w:sz w:val="24"/>
          <w:szCs w:val="24"/>
        </w:rPr>
        <w:t>w</w:t>
      </w:r>
      <w:r w:rsidRPr="00771E87">
        <w:rPr>
          <w:rFonts w:cstheme="minorHAnsi"/>
          <w:sz w:val="24"/>
          <w:szCs w:val="24"/>
        </w:rPr>
        <w:t xml:space="preserve">a prowadzona przez </w:t>
      </w:r>
      <w:r w:rsidR="0E2DDB59" w:rsidRPr="00771E87">
        <w:rPr>
          <w:rFonts w:cstheme="minorHAnsi"/>
          <w:sz w:val="24"/>
          <w:szCs w:val="24"/>
        </w:rPr>
        <w:t xml:space="preserve">ministra właściwego do spraw rozwoju regionalnego przeznaczona do zamieszczania pytań ofertowych zgodnie z zasadą konkurencyjności. </w:t>
      </w:r>
    </w:p>
    <w:p w14:paraId="4332023A" w14:textId="4F050456" w:rsidR="005918D8" w:rsidRPr="00771E87" w:rsidRDefault="2AD47D3A" w:rsidP="0FD956A3">
      <w:pPr>
        <w:autoSpaceDE w:val="0"/>
        <w:autoSpaceDN w:val="0"/>
        <w:adjustRightInd w:val="0"/>
        <w:spacing w:after="0" w:line="360" w:lineRule="auto"/>
        <w:rPr>
          <w:rFonts w:cstheme="minorHAnsi"/>
          <w:sz w:val="24"/>
          <w:szCs w:val="24"/>
        </w:rPr>
      </w:pPr>
      <w:r w:rsidRPr="00771E87">
        <w:rPr>
          <w:rFonts w:cstheme="minorHAnsi"/>
          <w:sz w:val="24"/>
          <w:szCs w:val="24"/>
        </w:rPr>
        <w:t>Celem stosowania zasady konkurencyjności jest umożliwieni</w:t>
      </w:r>
      <w:r w:rsidR="4B894441" w:rsidRPr="00771E87">
        <w:rPr>
          <w:rFonts w:cstheme="minorHAnsi"/>
          <w:sz w:val="24"/>
          <w:szCs w:val="24"/>
        </w:rPr>
        <w:t>e</w:t>
      </w:r>
      <w:r w:rsidRPr="00771E87">
        <w:rPr>
          <w:rFonts w:cstheme="minorHAnsi"/>
          <w:sz w:val="24"/>
          <w:szCs w:val="24"/>
        </w:rPr>
        <w:t xml:space="preserve"> skorzystania z zamówienia</w:t>
      </w:r>
      <w:r w:rsidR="00684BB3" w:rsidRPr="00771E87">
        <w:rPr>
          <w:rFonts w:cstheme="minorHAnsi"/>
          <w:sz w:val="24"/>
          <w:szCs w:val="24"/>
        </w:rPr>
        <w:t xml:space="preserve"> </w:t>
      </w:r>
      <w:r w:rsidRPr="00771E87">
        <w:rPr>
          <w:rFonts w:cstheme="minorHAnsi"/>
          <w:sz w:val="24"/>
          <w:szCs w:val="24"/>
        </w:rPr>
        <w:t xml:space="preserve">jak </w:t>
      </w:r>
      <w:r w:rsidR="00666F52" w:rsidRPr="00771E87">
        <w:rPr>
          <w:rFonts w:cstheme="minorHAnsi"/>
          <w:sz w:val="24"/>
          <w:szCs w:val="24"/>
        </w:rPr>
        <w:t> </w:t>
      </w:r>
      <w:r w:rsidRPr="00771E87">
        <w:rPr>
          <w:rFonts w:cstheme="minorHAnsi"/>
          <w:sz w:val="24"/>
          <w:szCs w:val="24"/>
        </w:rPr>
        <w:t>najszerszemu kręgowi potencjalnych wykonawców</w:t>
      </w:r>
      <w:r w:rsidR="711B5C4A" w:rsidRPr="00771E87">
        <w:rPr>
          <w:rFonts w:cstheme="minorHAnsi"/>
          <w:sz w:val="24"/>
          <w:szCs w:val="24"/>
        </w:rPr>
        <w:t xml:space="preserve">. </w:t>
      </w:r>
      <w:r w:rsidR="09106454" w:rsidRPr="00771E87">
        <w:rPr>
          <w:rFonts w:cstheme="minorHAnsi"/>
          <w:sz w:val="24"/>
          <w:szCs w:val="24"/>
        </w:rPr>
        <w:t xml:space="preserve">Dlatego niezbędne jest określenie w </w:t>
      </w:r>
      <w:r w:rsidR="00666F52" w:rsidRPr="00771E87">
        <w:rPr>
          <w:rFonts w:cstheme="minorHAnsi"/>
          <w:sz w:val="24"/>
          <w:szCs w:val="24"/>
        </w:rPr>
        <w:t> </w:t>
      </w:r>
      <w:r w:rsidR="09106454" w:rsidRPr="00771E87">
        <w:rPr>
          <w:rFonts w:cstheme="minorHAnsi"/>
          <w:sz w:val="24"/>
          <w:szCs w:val="24"/>
        </w:rPr>
        <w:t>sposób niedyskryminacyjny warunków udziału w konkurencyjnej procedurze za pośrednictwem BK2021.</w:t>
      </w:r>
    </w:p>
    <w:p w14:paraId="67B756F2" w14:textId="7F4D9074" w:rsidR="0058445B" w:rsidRPr="00771E87" w:rsidRDefault="7083CFEA" w:rsidP="0FD956A3">
      <w:pPr>
        <w:autoSpaceDE w:val="0"/>
        <w:autoSpaceDN w:val="0"/>
        <w:adjustRightInd w:val="0"/>
        <w:spacing w:after="0" w:line="360" w:lineRule="auto"/>
        <w:rPr>
          <w:rFonts w:cstheme="minorHAnsi"/>
          <w:sz w:val="24"/>
          <w:szCs w:val="24"/>
        </w:rPr>
      </w:pPr>
      <w:r w:rsidRPr="00771E87">
        <w:rPr>
          <w:rFonts w:cstheme="minorHAnsi"/>
          <w:sz w:val="24"/>
          <w:szCs w:val="24"/>
        </w:rPr>
        <w:t>Wnioskodawca ma obowiązek wybrać wykonawcę w sposób zapewniający zachowanie</w:t>
      </w:r>
      <w:r w:rsidR="6CE95600" w:rsidRPr="00771E87">
        <w:rPr>
          <w:rFonts w:cstheme="minorHAnsi"/>
          <w:sz w:val="24"/>
          <w:szCs w:val="24"/>
        </w:rPr>
        <w:t xml:space="preserve"> </w:t>
      </w:r>
      <w:r w:rsidRPr="00771E87">
        <w:rPr>
          <w:rFonts w:cstheme="minorHAnsi"/>
          <w:sz w:val="24"/>
          <w:szCs w:val="24"/>
        </w:rPr>
        <w:t>uczciwej konkurencji oraz równe traktowanie, a także realizować działania w</w:t>
      </w:r>
      <w:r w:rsidR="5DB88E38" w:rsidRPr="00771E87">
        <w:rPr>
          <w:rFonts w:cstheme="minorHAnsi"/>
          <w:sz w:val="24"/>
          <w:szCs w:val="24"/>
        </w:rPr>
        <w:t xml:space="preserve"> </w:t>
      </w:r>
      <w:r w:rsidRPr="00771E87">
        <w:rPr>
          <w:rFonts w:cstheme="minorHAnsi"/>
          <w:sz w:val="24"/>
          <w:szCs w:val="24"/>
        </w:rPr>
        <w:t>sposób</w:t>
      </w:r>
      <w:r w:rsidR="13054CC3" w:rsidRPr="00771E87">
        <w:rPr>
          <w:rFonts w:cstheme="minorHAnsi"/>
          <w:sz w:val="24"/>
          <w:szCs w:val="24"/>
        </w:rPr>
        <w:t xml:space="preserve"> </w:t>
      </w:r>
      <w:r w:rsidRPr="00771E87">
        <w:rPr>
          <w:rFonts w:cstheme="minorHAnsi"/>
          <w:sz w:val="24"/>
          <w:szCs w:val="24"/>
        </w:rPr>
        <w:t>przejrzysty</w:t>
      </w:r>
      <w:r w:rsidR="1D64A83F" w:rsidRPr="00771E87">
        <w:rPr>
          <w:rFonts w:cstheme="minorHAnsi"/>
          <w:sz w:val="24"/>
          <w:szCs w:val="24"/>
        </w:rPr>
        <w:t xml:space="preserve"> </w:t>
      </w:r>
      <w:r w:rsidRPr="00771E87">
        <w:rPr>
          <w:rFonts w:cstheme="minorHAnsi"/>
          <w:sz w:val="24"/>
          <w:szCs w:val="24"/>
        </w:rPr>
        <w:t xml:space="preserve">i </w:t>
      </w:r>
      <w:r w:rsidR="00666F52" w:rsidRPr="00771E87">
        <w:rPr>
          <w:rFonts w:cstheme="minorHAnsi"/>
          <w:sz w:val="24"/>
          <w:szCs w:val="24"/>
        </w:rPr>
        <w:t> </w:t>
      </w:r>
      <w:r w:rsidRPr="00771E87">
        <w:rPr>
          <w:rFonts w:cstheme="minorHAnsi"/>
          <w:sz w:val="24"/>
          <w:szCs w:val="24"/>
        </w:rPr>
        <w:t>proporcjonalny.</w:t>
      </w:r>
      <w:r w:rsidR="4686A0BE" w:rsidRPr="00771E87">
        <w:rPr>
          <w:rFonts w:cstheme="minorHAnsi"/>
          <w:sz w:val="24"/>
          <w:szCs w:val="24"/>
        </w:rPr>
        <w:t xml:space="preserve"> Bardzo istotne jest zatem precyzyjne określenie przedmiotu zamówienia</w:t>
      </w:r>
      <w:r w:rsidR="1D64A83F" w:rsidRPr="00771E87">
        <w:rPr>
          <w:rFonts w:cstheme="minorHAnsi"/>
          <w:sz w:val="24"/>
          <w:szCs w:val="24"/>
        </w:rPr>
        <w:t xml:space="preserve"> </w:t>
      </w:r>
      <w:r w:rsidR="06A65627" w:rsidRPr="00771E87">
        <w:rPr>
          <w:rFonts w:cstheme="minorHAnsi"/>
          <w:sz w:val="24"/>
          <w:szCs w:val="24"/>
        </w:rPr>
        <w:t>i</w:t>
      </w:r>
      <w:r w:rsidR="441261B2" w:rsidRPr="00771E87">
        <w:rPr>
          <w:rFonts w:cstheme="minorHAnsi"/>
          <w:sz w:val="24"/>
          <w:szCs w:val="24"/>
        </w:rPr>
        <w:t xml:space="preserve"> </w:t>
      </w:r>
      <w:r w:rsidR="00666F52" w:rsidRPr="00771E87">
        <w:rPr>
          <w:rFonts w:cstheme="minorHAnsi"/>
          <w:sz w:val="24"/>
          <w:szCs w:val="24"/>
        </w:rPr>
        <w:t> </w:t>
      </w:r>
      <w:r w:rsidR="4686A0BE" w:rsidRPr="00771E87">
        <w:rPr>
          <w:rFonts w:cstheme="minorHAnsi"/>
          <w:sz w:val="24"/>
          <w:szCs w:val="24"/>
        </w:rPr>
        <w:t>kryteriów wyboru wykonawców gwarantujących wysoką jakość oraz rozsądn</w:t>
      </w:r>
      <w:r w:rsidR="09A9FCA3" w:rsidRPr="00771E87">
        <w:rPr>
          <w:rFonts w:cstheme="minorHAnsi"/>
          <w:sz w:val="24"/>
          <w:szCs w:val="24"/>
        </w:rPr>
        <w:t>ą</w:t>
      </w:r>
      <w:r w:rsidR="4686A0BE" w:rsidRPr="00771E87">
        <w:rPr>
          <w:rFonts w:cstheme="minorHAnsi"/>
          <w:sz w:val="24"/>
          <w:szCs w:val="24"/>
        </w:rPr>
        <w:t xml:space="preserve"> cenę</w:t>
      </w:r>
      <w:r w:rsidR="76736A7F" w:rsidRPr="00771E87">
        <w:rPr>
          <w:rFonts w:cstheme="minorHAnsi"/>
          <w:sz w:val="24"/>
          <w:szCs w:val="24"/>
        </w:rPr>
        <w:t>.</w:t>
      </w:r>
      <w:r w:rsidR="068A2D0C" w:rsidRPr="00771E87">
        <w:rPr>
          <w:rFonts w:cstheme="minorHAnsi"/>
          <w:sz w:val="24"/>
          <w:szCs w:val="24"/>
        </w:rPr>
        <w:t xml:space="preserve"> </w:t>
      </w:r>
    </w:p>
    <w:p w14:paraId="7BA29EC9" w14:textId="512265F8" w:rsidR="005F6468" w:rsidRPr="00771E87" w:rsidRDefault="005F6468" w:rsidP="0FD956A3">
      <w:pPr>
        <w:autoSpaceDE w:val="0"/>
        <w:autoSpaceDN w:val="0"/>
        <w:adjustRightInd w:val="0"/>
        <w:spacing w:after="0" w:line="360" w:lineRule="auto"/>
        <w:rPr>
          <w:rFonts w:cstheme="minorHAnsi"/>
          <w:sz w:val="24"/>
          <w:szCs w:val="24"/>
        </w:rPr>
      </w:pPr>
    </w:p>
    <w:p w14:paraId="4F1A8A7D" w14:textId="1F642607" w:rsidR="0058445B" w:rsidRPr="00771E87" w:rsidRDefault="320E0AB2" w:rsidP="00666F52">
      <w:pPr>
        <w:autoSpaceDE w:val="0"/>
        <w:autoSpaceDN w:val="0"/>
        <w:adjustRightInd w:val="0"/>
        <w:spacing w:after="360" w:line="360" w:lineRule="auto"/>
        <w:rPr>
          <w:rFonts w:cstheme="minorHAnsi"/>
          <w:sz w:val="24"/>
          <w:szCs w:val="24"/>
        </w:rPr>
      </w:pPr>
      <w:r w:rsidRPr="00771E87">
        <w:rPr>
          <w:rFonts w:cstheme="minorHAnsi"/>
          <w:sz w:val="24"/>
          <w:szCs w:val="24"/>
        </w:rPr>
        <w:t xml:space="preserve">Podstawą obliczenia szacunkowej kwoty zamówienia jest całkowite szacunkowe wynagrodzenie wykonawcy, bez podatku </w:t>
      </w:r>
      <w:r w:rsidR="51EAC9F6" w:rsidRPr="00771E87">
        <w:rPr>
          <w:rFonts w:cstheme="minorHAnsi"/>
          <w:sz w:val="24"/>
          <w:szCs w:val="24"/>
        </w:rPr>
        <w:t>VAT</w:t>
      </w:r>
      <w:r w:rsidRPr="00771E87">
        <w:rPr>
          <w:rFonts w:cstheme="minorHAnsi"/>
          <w:sz w:val="24"/>
          <w:szCs w:val="24"/>
        </w:rPr>
        <w:t>, ustalone z należytą starannością i udokumentowane w sposób zapewniający właściwą ścieżkę audytu.</w:t>
      </w:r>
    </w:p>
    <w:p w14:paraId="5D6E362E" w14:textId="78B202EC" w:rsidR="008C60E3" w:rsidRPr="00771E87" w:rsidRDefault="7056D0D9" w:rsidP="00666F52">
      <w:pPr>
        <w:spacing w:after="360" w:line="360" w:lineRule="auto"/>
        <w:rPr>
          <w:rFonts w:cstheme="minorHAnsi"/>
          <w:sz w:val="24"/>
          <w:szCs w:val="24"/>
        </w:rPr>
      </w:pPr>
      <w:r w:rsidRPr="00771E87">
        <w:rPr>
          <w:rFonts w:cstheme="minorHAnsi"/>
          <w:sz w:val="24"/>
          <w:szCs w:val="24"/>
        </w:rPr>
        <w:t>Nie jest dopuszczalne zaniżanie wartości szacunkowej zamówienia lub jego podział skutkujący zaniżeniem jego wartości szacunkowej.</w:t>
      </w:r>
    </w:p>
    <w:p w14:paraId="7891BEF6" w14:textId="0A57DE41" w:rsidR="00666F52" w:rsidRPr="00771E87" w:rsidRDefault="51842695" w:rsidP="005918D8">
      <w:pPr>
        <w:autoSpaceDE w:val="0"/>
        <w:autoSpaceDN w:val="0"/>
        <w:adjustRightInd w:val="0"/>
        <w:spacing w:after="0" w:line="360" w:lineRule="auto"/>
        <w:rPr>
          <w:rFonts w:cstheme="minorHAnsi"/>
          <w:sz w:val="24"/>
          <w:szCs w:val="24"/>
        </w:rPr>
      </w:pPr>
      <w:r w:rsidRPr="00771E87">
        <w:rPr>
          <w:rFonts w:cstheme="minorHAnsi"/>
          <w:sz w:val="24"/>
          <w:szCs w:val="24"/>
        </w:rPr>
        <w:lastRenderedPageBreak/>
        <w:t>Minimalny termin składania ofert wynosi:</w:t>
      </w:r>
      <w:r w:rsidR="0266BFFB" w:rsidRPr="00771E87">
        <w:rPr>
          <w:rFonts w:cstheme="minorHAnsi"/>
        </w:rPr>
        <w:br/>
      </w:r>
      <w:r w:rsidRPr="00771E87">
        <w:rPr>
          <w:rFonts w:cstheme="minorHAnsi"/>
          <w:sz w:val="24"/>
          <w:szCs w:val="24"/>
        </w:rPr>
        <w:t>a) 7 dni – w przypadku dostaw i usług;</w:t>
      </w:r>
      <w:r w:rsidR="0266BFFB" w:rsidRPr="00771E87">
        <w:rPr>
          <w:rFonts w:cstheme="minorHAnsi"/>
        </w:rPr>
        <w:br/>
      </w:r>
      <w:r w:rsidRPr="00771E87">
        <w:rPr>
          <w:rFonts w:cstheme="minorHAnsi"/>
          <w:sz w:val="24"/>
          <w:szCs w:val="24"/>
        </w:rPr>
        <w:t xml:space="preserve">b) 14 dni – w przypadku robót budowlanych, </w:t>
      </w:r>
      <w:r w:rsidR="0266BFFB" w:rsidRPr="00771E87">
        <w:rPr>
          <w:rFonts w:cstheme="minorHAnsi"/>
        </w:rPr>
        <w:br/>
      </w:r>
      <w:r w:rsidR="68D5B0E9" w:rsidRPr="00771E87">
        <w:rPr>
          <w:rFonts w:cstheme="minorHAnsi"/>
          <w:sz w:val="24"/>
          <w:szCs w:val="24"/>
        </w:rPr>
        <w:t>z tym, że wyznaczony termin składania ofert powinien uwzględniać złożoność zamówienia</w:t>
      </w:r>
      <w:r w:rsidR="3EFB0E7A" w:rsidRPr="00771E87">
        <w:rPr>
          <w:rFonts w:cstheme="minorHAnsi"/>
          <w:sz w:val="24"/>
          <w:szCs w:val="24"/>
        </w:rPr>
        <w:t xml:space="preserve"> </w:t>
      </w:r>
      <w:r w:rsidR="68D5B0E9" w:rsidRPr="00771E87">
        <w:rPr>
          <w:rFonts w:cstheme="minorHAnsi"/>
          <w:sz w:val="24"/>
          <w:szCs w:val="24"/>
        </w:rPr>
        <w:t xml:space="preserve">oraz </w:t>
      </w:r>
      <w:r w:rsidR="00666F52" w:rsidRPr="00771E87">
        <w:rPr>
          <w:rFonts w:cstheme="minorHAnsi"/>
          <w:sz w:val="24"/>
          <w:szCs w:val="24"/>
        </w:rPr>
        <w:t> </w:t>
      </w:r>
      <w:r w:rsidR="68D5B0E9" w:rsidRPr="00771E87">
        <w:rPr>
          <w:rFonts w:cstheme="minorHAnsi"/>
          <w:sz w:val="24"/>
          <w:szCs w:val="24"/>
        </w:rPr>
        <w:t>czas potrzebny na sporządzenie ofert.</w:t>
      </w:r>
    </w:p>
    <w:p w14:paraId="4F990318" w14:textId="1647AECF" w:rsidR="005918D8" w:rsidRPr="00771E87" w:rsidRDefault="68D5B0E9" w:rsidP="005918D8">
      <w:pPr>
        <w:autoSpaceDE w:val="0"/>
        <w:autoSpaceDN w:val="0"/>
        <w:adjustRightInd w:val="0"/>
        <w:spacing w:after="0" w:line="360" w:lineRule="auto"/>
        <w:rPr>
          <w:rFonts w:cstheme="minorHAnsi"/>
          <w:sz w:val="24"/>
          <w:szCs w:val="24"/>
        </w:rPr>
      </w:pPr>
      <w:r w:rsidRPr="00771E87">
        <w:rPr>
          <w:rFonts w:cstheme="minorHAnsi"/>
          <w:sz w:val="24"/>
          <w:szCs w:val="24"/>
        </w:rPr>
        <w:t xml:space="preserve">Bieg terminu składania ofert rozpoczyna się dnia następującego po dniu upublicznienia zapytania ofertowego, a kończy się z upływem ostatniego dnia (zastosowanie ma art. 115 </w:t>
      </w:r>
      <w:r w:rsidR="4E82EAE1" w:rsidRPr="00771E87">
        <w:rPr>
          <w:rFonts w:cstheme="minorHAnsi"/>
          <w:sz w:val="24"/>
          <w:szCs w:val="24"/>
        </w:rPr>
        <w:t>Ustawy z dnia 23</w:t>
      </w:r>
      <w:r w:rsidR="008C1401" w:rsidRPr="00771E87">
        <w:rPr>
          <w:rFonts w:cstheme="minorHAnsi"/>
          <w:sz w:val="24"/>
          <w:szCs w:val="24"/>
        </w:rPr>
        <w:t> </w:t>
      </w:r>
      <w:r w:rsidR="4E82EAE1" w:rsidRPr="00771E87">
        <w:rPr>
          <w:rFonts w:cstheme="minorHAnsi"/>
          <w:sz w:val="24"/>
          <w:szCs w:val="24"/>
        </w:rPr>
        <w:t xml:space="preserve">kwietnia 1964 r. </w:t>
      </w:r>
      <w:r w:rsidRPr="00771E87">
        <w:rPr>
          <w:rFonts w:cstheme="minorHAnsi"/>
          <w:sz w:val="24"/>
          <w:szCs w:val="24"/>
        </w:rPr>
        <w:t>Kodeks cywiln</w:t>
      </w:r>
      <w:r w:rsidR="4E82EAE1" w:rsidRPr="00771E87">
        <w:rPr>
          <w:rFonts w:cstheme="minorHAnsi"/>
          <w:sz w:val="24"/>
          <w:szCs w:val="24"/>
        </w:rPr>
        <w:t>y (Dz. U. z 2023 r. poz. 1610</w:t>
      </w:r>
      <w:r w:rsidR="7027E5F8" w:rsidRPr="00771E87">
        <w:rPr>
          <w:rFonts w:cstheme="minorHAnsi"/>
          <w:sz w:val="24"/>
          <w:szCs w:val="24"/>
        </w:rPr>
        <w:t xml:space="preserve"> z </w:t>
      </w:r>
      <w:proofErr w:type="spellStart"/>
      <w:r w:rsidR="7027E5F8" w:rsidRPr="00771E87">
        <w:rPr>
          <w:rFonts w:cstheme="minorHAnsi"/>
          <w:sz w:val="24"/>
          <w:szCs w:val="24"/>
        </w:rPr>
        <w:t>późn</w:t>
      </w:r>
      <w:proofErr w:type="spellEnd"/>
      <w:r w:rsidR="7027E5F8" w:rsidRPr="00771E87">
        <w:rPr>
          <w:rFonts w:cstheme="minorHAnsi"/>
          <w:sz w:val="24"/>
          <w:szCs w:val="24"/>
        </w:rPr>
        <w:t>. zm.</w:t>
      </w:r>
      <w:r w:rsidRPr="00771E87">
        <w:rPr>
          <w:rFonts w:cstheme="minorHAnsi"/>
          <w:sz w:val="24"/>
          <w:szCs w:val="24"/>
        </w:rPr>
        <w:t>)</w:t>
      </w:r>
      <w:r w:rsidR="0CA23E3D" w:rsidRPr="00771E87">
        <w:rPr>
          <w:rFonts w:cstheme="minorHAnsi"/>
          <w:sz w:val="24"/>
          <w:szCs w:val="24"/>
        </w:rPr>
        <w:t>)</w:t>
      </w:r>
      <w:r w:rsidRPr="00771E87">
        <w:rPr>
          <w:rFonts w:cstheme="minorHAnsi"/>
          <w:sz w:val="24"/>
          <w:szCs w:val="24"/>
        </w:rPr>
        <w:t>. O terminowym złożeniu oferty decyduje data złożenia oferty za pośrednictwem BK2021.</w:t>
      </w:r>
    </w:p>
    <w:p w14:paraId="34173103" w14:textId="77777777" w:rsidR="00666F52" w:rsidRPr="00771E87" w:rsidRDefault="005918D8" w:rsidP="00666F52">
      <w:pPr>
        <w:autoSpaceDE w:val="0"/>
        <w:autoSpaceDN w:val="0"/>
        <w:adjustRightInd w:val="0"/>
        <w:spacing w:after="0" w:line="360" w:lineRule="auto"/>
        <w:rPr>
          <w:rFonts w:cstheme="minorHAnsi"/>
          <w:sz w:val="24"/>
          <w:szCs w:val="24"/>
        </w:rPr>
      </w:pPr>
      <w:r w:rsidRPr="00771E87">
        <w:rPr>
          <w:rFonts w:cstheme="minorHAnsi"/>
          <w:sz w:val="24"/>
          <w:szCs w:val="24"/>
        </w:rPr>
        <w:t>Wszystkie oferty wykonawców w odpowiedzi na ogłoszenie MŚP powinny być składane</w:t>
      </w:r>
      <w:r w:rsidR="00684BB3" w:rsidRPr="00771E87">
        <w:rPr>
          <w:rFonts w:cstheme="minorHAnsi"/>
          <w:sz w:val="24"/>
          <w:szCs w:val="24"/>
        </w:rPr>
        <w:t xml:space="preserve"> </w:t>
      </w:r>
      <w:r w:rsidRPr="00771E87">
        <w:rPr>
          <w:rFonts w:cstheme="minorHAnsi"/>
          <w:sz w:val="24"/>
          <w:szCs w:val="24"/>
        </w:rPr>
        <w:t xml:space="preserve">za </w:t>
      </w:r>
      <w:r w:rsidR="00666F52" w:rsidRPr="00771E87">
        <w:rPr>
          <w:rFonts w:cstheme="minorHAnsi"/>
          <w:sz w:val="24"/>
          <w:szCs w:val="24"/>
        </w:rPr>
        <w:t> </w:t>
      </w:r>
      <w:r w:rsidRPr="00771E87">
        <w:rPr>
          <w:rFonts w:cstheme="minorHAnsi"/>
          <w:sz w:val="24"/>
          <w:szCs w:val="24"/>
        </w:rPr>
        <w:t>pośrednictwem BK2021. Komunikacja między zamawiającym (MŚP) a oferentem (pytania, odpowiedzi oraz inna wymiana informacji), a także przekazywanie dokumentów i oświadczeń odbywa się za pośrednictwem BK2021.</w:t>
      </w:r>
    </w:p>
    <w:p w14:paraId="268140A6" w14:textId="7D6552AB" w:rsidR="00CA0C40" w:rsidRPr="00771E87" w:rsidRDefault="189DE083" w:rsidP="00666F52">
      <w:pPr>
        <w:autoSpaceDE w:val="0"/>
        <w:autoSpaceDN w:val="0"/>
        <w:adjustRightInd w:val="0"/>
        <w:spacing w:after="360" w:line="360" w:lineRule="auto"/>
        <w:rPr>
          <w:rFonts w:cstheme="minorHAnsi"/>
          <w:sz w:val="24"/>
          <w:szCs w:val="24"/>
        </w:rPr>
      </w:pPr>
      <w:r w:rsidRPr="00771E87">
        <w:rPr>
          <w:rFonts w:cstheme="minorHAnsi"/>
          <w:sz w:val="24"/>
          <w:szCs w:val="24"/>
        </w:rPr>
        <w:t>Zamawiający wybiera najkorzystniejszą ofertę zgodną z opisem przedmiotu zamówienia, złożoną przez wykonawcę spełniającego warunki udziału w postępowaniu (o ile zamawiający postawił takie warunki), w oparciu o ustalone w zapytaniu ofertowym kryteria oceny, spośród ofert złożonych</w:t>
      </w:r>
      <w:r w:rsidR="7BC25C80" w:rsidRPr="00771E87">
        <w:rPr>
          <w:rFonts w:cstheme="minorHAnsi"/>
          <w:sz w:val="24"/>
          <w:szCs w:val="24"/>
        </w:rPr>
        <w:t xml:space="preserve"> </w:t>
      </w:r>
      <w:r w:rsidRPr="00771E87">
        <w:rPr>
          <w:rFonts w:cstheme="minorHAnsi"/>
          <w:sz w:val="24"/>
          <w:szCs w:val="24"/>
        </w:rPr>
        <w:t xml:space="preserve">w </w:t>
      </w:r>
      <w:r w:rsidR="00666F52" w:rsidRPr="00771E87">
        <w:rPr>
          <w:rFonts w:cstheme="minorHAnsi"/>
          <w:sz w:val="24"/>
          <w:szCs w:val="24"/>
        </w:rPr>
        <w:t> </w:t>
      </w:r>
      <w:r w:rsidRPr="00771E87">
        <w:rPr>
          <w:rFonts w:cstheme="minorHAnsi"/>
          <w:sz w:val="24"/>
          <w:szCs w:val="24"/>
        </w:rPr>
        <w:t>terminie za pośrednictwem BK2021.</w:t>
      </w:r>
    </w:p>
    <w:p w14:paraId="09E66A2C" w14:textId="77777777" w:rsidR="00076373" w:rsidRPr="00771E87" w:rsidRDefault="00076373" w:rsidP="004B3A93">
      <w:pPr>
        <w:autoSpaceDE w:val="0"/>
        <w:autoSpaceDN w:val="0"/>
        <w:adjustRightInd w:val="0"/>
        <w:spacing w:after="0" w:line="360" w:lineRule="auto"/>
        <w:rPr>
          <w:rFonts w:cstheme="minorHAnsi"/>
          <w:b/>
          <w:bCs/>
          <w:sz w:val="24"/>
          <w:szCs w:val="24"/>
          <w:lang w:eastAsia="pl-PL"/>
        </w:rPr>
      </w:pPr>
      <w:r w:rsidRPr="00771E87">
        <w:rPr>
          <w:rFonts w:cstheme="minorHAnsi"/>
          <w:b/>
          <w:bCs/>
          <w:sz w:val="24"/>
          <w:szCs w:val="24"/>
          <w:lang w:eastAsia="pl-PL"/>
        </w:rPr>
        <w:t>Wyłączenia</w:t>
      </w:r>
    </w:p>
    <w:p w14:paraId="6783CC42" w14:textId="00DBC743" w:rsidR="00076373" w:rsidRPr="00771E87" w:rsidRDefault="5F71ADEB" w:rsidP="450F1B5E">
      <w:pPr>
        <w:pStyle w:val="Akapitzlist"/>
        <w:numPr>
          <w:ilvl w:val="0"/>
          <w:numId w:val="83"/>
        </w:numPr>
        <w:autoSpaceDE w:val="0"/>
        <w:autoSpaceDN w:val="0"/>
        <w:adjustRightInd w:val="0"/>
        <w:spacing w:after="0" w:line="360" w:lineRule="auto"/>
        <w:ind w:left="360"/>
        <w:rPr>
          <w:rFonts w:cstheme="minorHAnsi"/>
          <w:sz w:val="24"/>
          <w:szCs w:val="24"/>
          <w:lang w:eastAsia="pl-PL"/>
        </w:rPr>
      </w:pPr>
      <w:r w:rsidRPr="00771E87">
        <w:rPr>
          <w:rFonts w:cstheme="minorHAnsi"/>
          <w:sz w:val="24"/>
          <w:szCs w:val="24"/>
          <w:lang w:eastAsia="pl-PL"/>
        </w:rPr>
        <w:t xml:space="preserve">Zasady konkurencyjności </w:t>
      </w:r>
      <w:r w:rsidR="7698E272" w:rsidRPr="00771E87">
        <w:rPr>
          <w:rFonts w:cstheme="minorHAnsi"/>
          <w:sz w:val="24"/>
          <w:szCs w:val="24"/>
          <w:lang w:eastAsia="pl-PL"/>
        </w:rPr>
        <w:t xml:space="preserve">MŚP </w:t>
      </w:r>
      <w:r w:rsidRPr="00771E87">
        <w:rPr>
          <w:rFonts w:cstheme="minorHAnsi"/>
          <w:sz w:val="24"/>
          <w:szCs w:val="24"/>
          <w:lang w:eastAsia="pl-PL"/>
        </w:rPr>
        <w:t>nie stosuje do:</w:t>
      </w:r>
    </w:p>
    <w:p w14:paraId="2A3C95CF" w14:textId="07F7E8E1" w:rsidR="00076373" w:rsidRPr="00771E87" w:rsidRDefault="5F71ADEB" w:rsidP="450F1B5E">
      <w:pPr>
        <w:pStyle w:val="Akapitzlist"/>
        <w:numPr>
          <w:ilvl w:val="0"/>
          <w:numId w:val="84"/>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 xml:space="preserve"> zamówień, których wartość nie przekracza kwoty 50</w:t>
      </w:r>
      <w:r w:rsidR="07025E35" w:rsidRPr="00771E87">
        <w:rPr>
          <w:rFonts w:cstheme="minorHAnsi"/>
          <w:sz w:val="24"/>
          <w:szCs w:val="24"/>
          <w:lang w:eastAsia="pl-PL"/>
        </w:rPr>
        <w:t xml:space="preserve"> tys. PLN</w:t>
      </w:r>
      <w:r w:rsidRPr="00771E87">
        <w:rPr>
          <w:rFonts w:cstheme="minorHAnsi"/>
          <w:sz w:val="24"/>
          <w:szCs w:val="24"/>
          <w:lang w:eastAsia="pl-PL"/>
        </w:rPr>
        <w:t xml:space="preserve"> netto,</w:t>
      </w:r>
      <w:r w:rsidR="7698E272" w:rsidRPr="00771E87">
        <w:rPr>
          <w:rFonts w:cstheme="minorHAnsi"/>
          <w:sz w:val="24"/>
          <w:szCs w:val="24"/>
          <w:lang w:eastAsia="pl-PL"/>
        </w:rPr>
        <w:t xml:space="preserve"> chyba, że MŚP </w:t>
      </w:r>
      <w:r w:rsidR="189DE083" w:rsidRPr="00771E87">
        <w:rPr>
          <w:rFonts w:cstheme="minorHAnsi"/>
          <w:sz w:val="24"/>
          <w:szCs w:val="24"/>
          <w:lang w:eastAsia="pl-PL"/>
        </w:rPr>
        <w:t>zdecyduje</w:t>
      </w:r>
      <w:r w:rsidR="7698E272" w:rsidRPr="00771E87">
        <w:rPr>
          <w:rFonts w:cstheme="minorHAnsi"/>
          <w:sz w:val="24"/>
          <w:szCs w:val="24"/>
          <w:lang w:eastAsia="pl-PL"/>
        </w:rPr>
        <w:t xml:space="preserve"> inaczej,</w:t>
      </w:r>
    </w:p>
    <w:p w14:paraId="463FFB9C" w14:textId="336D0494" w:rsidR="00076373" w:rsidRPr="00771E87" w:rsidRDefault="7698E272" w:rsidP="450F1B5E">
      <w:pPr>
        <w:pStyle w:val="Akapitzlist"/>
        <w:numPr>
          <w:ilvl w:val="0"/>
          <w:numId w:val="84"/>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 xml:space="preserve"> </w:t>
      </w:r>
      <w:r w:rsidR="38EFEFDE" w:rsidRPr="00771E87">
        <w:rPr>
          <w:rFonts w:cstheme="minorHAnsi"/>
          <w:sz w:val="24"/>
          <w:szCs w:val="24"/>
          <w:lang w:eastAsia="pl-PL"/>
        </w:rPr>
        <w:t xml:space="preserve">zamówień udzielanych na podstawie </w:t>
      </w:r>
      <w:proofErr w:type="spellStart"/>
      <w:r w:rsidR="38EFEFDE" w:rsidRPr="00771E87">
        <w:rPr>
          <w:rFonts w:cstheme="minorHAnsi"/>
          <w:sz w:val="24"/>
          <w:szCs w:val="24"/>
          <w:lang w:eastAsia="pl-PL"/>
        </w:rPr>
        <w:t>Pzp</w:t>
      </w:r>
      <w:proofErr w:type="spellEnd"/>
      <w:r w:rsidR="38EFEFDE" w:rsidRPr="00771E87">
        <w:rPr>
          <w:rFonts w:cstheme="minorHAnsi"/>
          <w:sz w:val="24"/>
          <w:szCs w:val="24"/>
          <w:lang w:eastAsia="pl-PL"/>
        </w:rPr>
        <w:t>.</w:t>
      </w:r>
    </w:p>
    <w:p w14:paraId="149ED1B8" w14:textId="0382147B" w:rsidR="00076373" w:rsidRPr="00771E87" w:rsidRDefault="5F71ADEB" w:rsidP="450F1B5E">
      <w:pPr>
        <w:pStyle w:val="Akapitzlist"/>
        <w:numPr>
          <w:ilvl w:val="0"/>
          <w:numId w:val="83"/>
        </w:numPr>
        <w:autoSpaceDE w:val="0"/>
        <w:autoSpaceDN w:val="0"/>
        <w:adjustRightInd w:val="0"/>
        <w:spacing w:after="0" w:line="360" w:lineRule="auto"/>
        <w:ind w:left="360"/>
        <w:rPr>
          <w:rFonts w:cstheme="minorHAnsi"/>
          <w:sz w:val="24"/>
          <w:szCs w:val="24"/>
          <w:lang w:eastAsia="pl-PL"/>
        </w:rPr>
      </w:pPr>
      <w:r w:rsidRPr="00771E87">
        <w:rPr>
          <w:rFonts w:cstheme="minorHAnsi"/>
          <w:sz w:val="24"/>
          <w:szCs w:val="24"/>
          <w:lang w:eastAsia="pl-PL"/>
        </w:rPr>
        <w:t xml:space="preserve">Zasady konkurencyjności </w:t>
      </w:r>
      <w:r w:rsidR="51EB2F4D" w:rsidRPr="00771E87">
        <w:rPr>
          <w:rFonts w:cstheme="minorHAnsi"/>
          <w:sz w:val="24"/>
          <w:szCs w:val="24"/>
          <w:lang w:eastAsia="pl-PL"/>
        </w:rPr>
        <w:t xml:space="preserve">MŚP może </w:t>
      </w:r>
      <w:r w:rsidRPr="00771E87">
        <w:rPr>
          <w:rFonts w:cstheme="minorHAnsi"/>
          <w:sz w:val="24"/>
          <w:szCs w:val="24"/>
          <w:lang w:eastAsia="pl-PL"/>
        </w:rPr>
        <w:t>nie stosować do:</w:t>
      </w:r>
    </w:p>
    <w:p w14:paraId="17C87F6D" w14:textId="6133F026" w:rsidR="00076373" w:rsidRPr="00771E87" w:rsidRDefault="34979FE9" w:rsidP="2420E382">
      <w:pPr>
        <w:pStyle w:val="Akapitzlist"/>
        <w:numPr>
          <w:ilvl w:val="0"/>
          <w:numId w:val="85"/>
        </w:numPr>
        <w:autoSpaceDE w:val="0"/>
        <w:autoSpaceDN w:val="0"/>
        <w:adjustRightInd w:val="0"/>
        <w:spacing w:after="0" w:line="360" w:lineRule="auto"/>
        <w:rPr>
          <w:rFonts w:cstheme="minorHAnsi"/>
        </w:rPr>
      </w:pPr>
      <w:r w:rsidRPr="00771E87">
        <w:rPr>
          <w:rFonts w:cstheme="minorHAnsi"/>
          <w:sz w:val="24"/>
          <w:szCs w:val="24"/>
          <w:lang w:eastAsia="pl-PL"/>
        </w:rPr>
        <w:t xml:space="preserve"> sytuacji, w której ze względu na pilną potrzebę (konieczność) udzielenia</w:t>
      </w:r>
      <w:r w:rsidR="16309210" w:rsidRPr="00771E87">
        <w:rPr>
          <w:rFonts w:cstheme="minorHAnsi"/>
          <w:sz w:val="24"/>
          <w:szCs w:val="24"/>
          <w:lang w:eastAsia="pl-PL"/>
        </w:rPr>
        <w:t xml:space="preserve"> </w:t>
      </w:r>
      <w:r w:rsidRPr="00771E87">
        <w:rPr>
          <w:rFonts w:cstheme="minorHAnsi"/>
          <w:sz w:val="24"/>
          <w:szCs w:val="24"/>
          <w:lang w:eastAsia="pl-PL"/>
        </w:rPr>
        <w:t>zamówienia niewynikającą z przyczyn leżących po stronie zamawiającego,</w:t>
      </w:r>
      <w:r w:rsidR="16309210" w:rsidRPr="00771E87">
        <w:rPr>
          <w:rFonts w:cstheme="minorHAnsi"/>
          <w:sz w:val="24"/>
          <w:szCs w:val="24"/>
          <w:lang w:eastAsia="pl-PL"/>
        </w:rPr>
        <w:t xml:space="preserve"> </w:t>
      </w:r>
      <w:r w:rsidRPr="00771E87">
        <w:rPr>
          <w:rFonts w:cstheme="minorHAnsi"/>
          <w:sz w:val="24"/>
          <w:szCs w:val="24"/>
          <w:lang w:eastAsia="pl-PL"/>
        </w:rPr>
        <w:t>której wcześniej nie można było</w:t>
      </w:r>
      <w:r w:rsidR="16309210" w:rsidRPr="00771E87">
        <w:rPr>
          <w:rFonts w:cstheme="minorHAnsi"/>
          <w:sz w:val="24"/>
          <w:szCs w:val="24"/>
          <w:lang w:eastAsia="pl-PL"/>
        </w:rPr>
        <w:t xml:space="preserve"> </w:t>
      </w:r>
      <w:r w:rsidRPr="00771E87">
        <w:rPr>
          <w:rFonts w:cstheme="minorHAnsi"/>
          <w:sz w:val="24"/>
          <w:szCs w:val="24"/>
          <w:lang w:eastAsia="pl-PL"/>
        </w:rPr>
        <w:t>przewidzieć,</w:t>
      </w:r>
      <w:r w:rsidR="543266F0" w:rsidRPr="00771E87">
        <w:rPr>
          <w:rFonts w:cstheme="minorHAnsi"/>
          <w:sz w:val="24"/>
          <w:szCs w:val="24"/>
          <w:lang w:eastAsia="pl-PL"/>
        </w:rPr>
        <w:t xml:space="preserve"> </w:t>
      </w:r>
      <w:r w:rsidR="543266F0" w:rsidRPr="00771E87">
        <w:rPr>
          <w:rFonts w:eastAsia="Calibri" w:cstheme="minorHAnsi"/>
          <w:sz w:val="24"/>
          <w:szCs w:val="24"/>
        </w:rPr>
        <w:t xml:space="preserve">nie można zachować wyżej wskazanych terminów, tj.: 7 dni -w </w:t>
      </w:r>
      <w:r w:rsidR="00666F52" w:rsidRPr="00771E87">
        <w:rPr>
          <w:rFonts w:eastAsia="Calibri" w:cstheme="minorHAnsi"/>
          <w:sz w:val="24"/>
          <w:szCs w:val="24"/>
        </w:rPr>
        <w:t> </w:t>
      </w:r>
      <w:r w:rsidR="543266F0" w:rsidRPr="00771E87">
        <w:rPr>
          <w:rFonts w:eastAsia="Calibri" w:cstheme="minorHAnsi"/>
          <w:sz w:val="24"/>
          <w:szCs w:val="24"/>
        </w:rPr>
        <w:t xml:space="preserve">przypadku </w:t>
      </w:r>
      <w:r w:rsidR="00666F52" w:rsidRPr="00771E87">
        <w:rPr>
          <w:rFonts w:cstheme="minorHAnsi"/>
        </w:rPr>
        <w:t> </w:t>
      </w:r>
      <w:r w:rsidR="543266F0" w:rsidRPr="00771E87">
        <w:rPr>
          <w:rFonts w:eastAsia="Calibri" w:cstheme="minorHAnsi"/>
          <w:sz w:val="24"/>
          <w:szCs w:val="24"/>
        </w:rPr>
        <w:t>dostaw i usług lub 14 dni – w przypadku robót budowlanych,</w:t>
      </w:r>
    </w:p>
    <w:p w14:paraId="6BF27C44" w14:textId="664215D0" w:rsidR="00076373" w:rsidRPr="00771E87" w:rsidRDefault="00076373" w:rsidP="00B25D62">
      <w:pPr>
        <w:pStyle w:val="Akapitzlist"/>
        <w:numPr>
          <w:ilvl w:val="0"/>
          <w:numId w:val="85"/>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sytuacji, w której ze względu na wyjątkową sytuację niewynikającą z przyczyn</w:t>
      </w:r>
      <w:r w:rsidR="00D96978" w:rsidRPr="00771E87">
        <w:rPr>
          <w:rFonts w:cstheme="minorHAnsi"/>
          <w:sz w:val="24"/>
          <w:szCs w:val="24"/>
          <w:lang w:eastAsia="pl-PL"/>
        </w:rPr>
        <w:t xml:space="preserve"> </w:t>
      </w:r>
      <w:r w:rsidRPr="00771E87">
        <w:rPr>
          <w:rFonts w:cstheme="minorHAnsi"/>
          <w:sz w:val="24"/>
          <w:szCs w:val="24"/>
          <w:lang w:eastAsia="pl-PL"/>
        </w:rPr>
        <w:t>leżących po</w:t>
      </w:r>
      <w:r w:rsidR="00D96978" w:rsidRPr="00771E87">
        <w:rPr>
          <w:rFonts w:cstheme="minorHAnsi"/>
          <w:sz w:val="24"/>
          <w:szCs w:val="24"/>
          <w:lang w:eastAsia="pl-PL"/>
        </w:rPr>
        <w:t xml:space="preserve"> </w:t>
      </w:r>
      <w:r w:rsidR="00666F52" w:rsidRPr="00771E87">
        <w:rPr>
          <w:rFonts w:cstheme="minorHAnsi"/>
          <w:sz w:val="24"/>
          <w:szCs w:val="24"/>
          <w:lang w:eastAsia="pl-PL"/>
        </w:rPr>
        <w:t> </w:t>
      </w:r>
      <w:r w:rsidRPr="00771E87">
        <w:rPr>
          <w:rFonts w:cstheme="minorHAnsi"/>
          <w:sz w:val="24"/>
          <w:szCs w:val="24"/>
          <w:lang w:eastAsia="pl-PL"/>
        </w:rPr>
        <w:t>stronie zamawiającego, której wcześniej nie można było</w:t>
      </w:r>
      <w:r w:rsidR="00D96978" w:rsidRPr="00771E87">
        <w:rPr>
          <w:rFonts w:cstheme="minorHAnsi"/>
          <w:sz w:val="24"/>
          <w:szCs w:val="24"/>
          <w:lang w:eastAsia="pl-PL"/>
        </w:rPr>
        <w:t xml:space="preserve"> </w:t>
      </w:r>
      <w:r w:rsidRPr="00771E87">
        <w:rPr>
          <w:rFonts w:cstheme="minorHAnsi"/>
          <w:sz w:val="24"/>
          <w:szCs w:val="24"/>
          <w:lang w:eastAsia="pl-PL"/>
        </w:rPr>
        <w:t>przewidzieć (np. klęski żywiołowe, katastrofy, awarie), wymagane jest</w:t>
      </w:r>
      <w:r w:rsidR="00D96978" w:rsidRPr="00771E87">
        <w:rPr>
          <w:rFonts w:cstheme="minorHAnsi"/>
          <w:sz w:val="24"/>
          <w:szCs w:val="24"/>
          <w:lang w:eastAsia="pl-PL"/>
        </w:rPr>
        <w:t xml:space="preserve"> </w:t>
      </w:r>
      <w:r w:rsidRPr="00771E87">
        <w:rPr>
          <w:rFonts w:cstheme="minorHAnsi"/>
          <w:sz w:val="24"/>
          <w:szCs w:val="24"/>
          <w:lang w:eastAsia="pl-PL"/>
        </w:rPr>
        <w:t>natychmiastowe wykonanie zamówienia</w:t>
      </w:r>
      <w:r w:rsidR="00D96978" w:rsidRPr="00771E87">
        <w:rPr>
          <w:rFonts w:cstheme="minorHAnsi"/>
          <w:sz w:val="24"/>
          <w:szCs w:val="24"/>
          <w:lang w:eastAsia="pl-PL"/>
        </w:rPr>
        <w:t>,</w:t>
      </w:r>
    </w:p>
    <w:p w14:paraId="2AF3ECC3" w14:textId="5D1868A8" w:rsidR="00076373" w:rsidRPr="00771E87" w:rsidRDefault="5F71ADEB" w:rsidP="450F1B5E">
      <w:pPr>
        <w:pStyle w:val="Akapitzlist"/>
        <w:numPr>
          <w:ilvl w:val="0"/>
          <w:numId w:val="85"/>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lastRenderedPageBreak/>
        <w:t>zamówień, które mogą być zrealizowane tylko przez jednego wykonawcę z</w:t>
      </w:r>
      <w:r w:rsidR="2AAA6201" w:rsidRPr="00771E87">
        <w:rPr>
          <w:rFonts w:cstheme="minorHAnsi"/>
          <w:sz w:val="24"/>
          <w:szCs w:val="24"/>
          <w:lang w:eastAsia="pl-PL"/>
        </w:rPr>
        <w:t xml:space="preserve"> </w:t>
      </w:r>
      <w:r w:rsidRPr="00771E87">
        <w:rPr>
          <w:rFonts w:cstheme="minorHAnsi"/>
          <w:sz w:val="24"/>
          <w:szCs w:val="24"/>
          <w:lang w:eastAsia="pl-PL"/>
        </w:rPr>
        <w:t>jednego</w:t>
      </w:r>
      <w:r w:rsidR="7C35BF7C" w:rsidRPr="00771E87">
        <w:rPr>
          <w:rFonts w:cstheme="minorHAnsi"/>
          <w:sz w:val="24"/>
          <w:szCs w:val="24"/>
          <w:lang w:eastAsia="pl-PL"/>
        </w:rPr>
        <w:t xml:space="preserve"> </w:t>
      </w:r>
      <w:r w:rsidRPr="00771E87">
        <w:rPr>
          <w:rFonts w:cstheme="minorHAnsi"/>
          <w:sz w:val="24"/>
          <w:szCs w:val="24"/>
          <w:lang w:eastAsia="pl-PL"/>
        </w:rPr>
        <w:t xml:space="preserve">z </w:t>
      </w:r>
      <w:r w:rsidR="00666F52" w:rsidRPr="00771E87">
        <w:rPr>
          <w:rFonts w:cstheme="minorHAnsi"/>
          <w:sz w:val="24"/>
          <w:szCs w:val="24"/>
          <w:lang w:eastAsia="pl-PL"/>
        </w:rPr>
        <w:t> </w:t>
      </w:r>
      <w:r w:rsidRPr="00771E87">
        <w:rPr>
          <w:rFonts w:cstheme="minorHAnsi"/>
          <w:sz w:val="24"/>
          <w:szCs w:val="24"/>
          <w:lang w:eastAsia="pl-PL"/>
        </w:rPr>
        <w:t>następujących powodów:</w:t>
      </w:r>
    </w:p>
    <w:p w14:paraId="1C86E90B" w14:textId="7CF542F8" w:rsidR="00076373" w:rsidRPr="00771E87" w:rsidRDefault="4D79ADF1" w:rsidP="00033C97">
      <w:pPr>
        <w:pStyle w:val="Akapitzlist"/>
        <w:numPr>
          <w:ilvl w:val="0"/>
          <w:numId w:val="86"/>
        </w:numPr>
        <w:autoSpaceDE w:val="0"/>
        <w:autoSpaceDN w:val="0"/>
        <w:adjustRightInd w:val="0"/>
        <w:spacing w:after="0" w:line="360" w:lineRule="auto"/>
        <w:ind w:left="1260"/>
        <w:rPr>
          <w:rFonts w:cstheme="minorHAnsi"/>
          <w:sz w:val="24"/>
          <w:szCs w:val="24"/>
          <w:lang w:eastAsia="pl-PL"/>
        </w:rPr>
      </w:pPr>
      <w:r w:rsidRPr="00771E87">
        <w:rPr>
          <w:rFonts w:cstheme="minorHAnsi"/>
          <w:sz w:val="24"/>
          <w:szCs w:val="24"/>
          <w:lang w:eastAsia="pl-PL"/>
        </w:rPr>
        <w:t>brak konkurencji ze względów technicznych o obiektywnym charakterze,</w:t>
      </w:r>
      <w:r w:rsidR="6FBE203F" w:rsidRPr="00771E87">
        <w:rPr>
          <w:rFonts w:cstheme="minorHAnsi"/>
          <w:sz w:val="24"/>
          <w:szCs w:val="24"/>
          <w:lang w:eastAsia="pl-PL"/>
        </w:rPr>
        <w:t xml:space="preserve"> </w:t>
      </w:r>
      <w:r w:rsidRPr="00771E87">
        <w:rPr>
          <w:rFonts w:cstheme="minorHAnsi"/>
          <w:sz w:val="24"/>
          <w:szCs w:val="24"/>
          <w:lang w:eastAsia="pl-PL"/>
        </w:rPr>
        <w:t>gdy istnieje tylko jeden wykonawca, który jako jedyny może zrealizować</w:t>
      </w:r>
      <w:r w:rsidR="6FBE203F" w:rsidRPr="00771E87">
        <w:rPr>
          <w:rFonts w:cstheme="minorHAnsi"/>
          <w:sz w:val="24"/>
          <w:szCs w:val="24"/>
          <w:lang w:eastAsia="pl-PL"/>
        </w:rPr>
        <w:t xml:space="preserve"> </w:t>
      </w:r>
      <w:r w:rsidRPr="00771E87">
        <w:rPr>
          <w:rFonts w:cstheme="minorHAnsi"/>
          <w:sz w:val="24"/>
          <w:szCs w:val="24"/>
          <w:lang w:eastAsia="pl-PL"/>
        </w:rPr>
        <w:t>zamówienie, albo</w:t>
      </w:r>
    </w:p>
    <w:p w14:paraId="0FA8B001" w14:textId="2ED36346" w:rsidR="00076373" w:rsidRPr="00771E87" w:rsidRDefault="4D79ADF1" w:rsidP="00033C97">
      <w:pPr>
        <w:pStyle w:val="Akapitzlist"/>
        <w:numPr>
          <w:ilvl w:val="0"/>
          <w:numId w:val="86"/>
        </w:numPr>
        <w:autoSpaceDE w:val="0"/>
        <w:autoSpaceDN w:val="0"/>
        <w:adjustRightInd w:val="0"/>
        <w:spacing w:after="0" w:line="360" w:lineRule="auto"/>
        <w:ind w:left="1260"/>
        <w:rPr>
          <w:rFonts w:cstheme="minorHAnsi"/>
          <w:sz w:val="24"/>
          <w:szCs w:val="24"/>
          <w:lang w:eastAsia="pl-PL"/>
        </w:rPr>
      </w:pPr>
      <w:r w:rsidRPr="00771E87">
        <w:rPr>
          <w:rFonts w:cstheme="minorHAnsi"/>
          <w:sz w:val="24"/>
          <w:szCs w:val="24"/>
          <w:lang w:eastAsia="pl-PL"/>
        </w:rPr>
        <w:t>przedmiot zamówienia jest objęty ochroną praw wyłącznych, w tym praw</w:t>
      </w:r>
      <w:r w:rsidR="6FBE203F" w:rsidRPr="00771E87">
        <w:rPr>
          <w:rFonts w:cstheme="minorHAnsi"/>
          <w:sz w:val="24"/>
          <w:szCs w:val="24"/>
          <w:lang w:eastAsia="pl-PL"/>
        </w:rPr>
        <w:t xml:space="preserve"> </w:t>
      </w:r>
      <w:r w:rsidRPr="00771E87">
        <w:rPr>
          <w:rFonts w:cstheme="minorHAnsi"/>
          <w:sz w:val="24"/>
          <w:szCs w:val="24"/>
          <w:lang w:eastAsia="pl-PL"/>
        </w:rPr>
        <w:t>własności</w:t>
      </w:r>
      <w:r w:rsidR="6FBE203F" w:rsidRPr="00771E87">
        <w:rPr>
          <w:rFonts w:cstheme="minorHAnsi"/>
          <w:sz w:val="24"/>
          <w:szCs w:val="24"/>
          <w:lang w:eastAsia="pl-PL"/>
        </w:rPr>
        <w:t xml:space="preserve"> </w:t>
      </w:r>
      <w:r w:rsidRPr="00771E87">
        <w:rPr>
          <w:rFonts w:cstheme="minorHAnsi"/>
          <w:sz w:val="24"/>
          <w:szCs w:val="24"/>
          <w:lang w:eastAsia="pl-PL"/>
        </w:rPr>
        <w:t>intelektualnej, gdy istnieje tylko jeden wykonawca, który ma</w:t>
      </w:r>
      <w:r w:rsidR="6FBE203F" w:rsidRPr="00771E87">
        <w:rPr>
          <w:rFonts w:cstheme="minorHAnsi"/>
          <w:sz w:val="24"/>
          <w:szCs w:val="24"/>
          <w:lang w:eastAsia="pl-PL"/>
        </w:rPr>
        <w:t xml:space="preserve"> </w:t>
      </w:r>
      <w:r w:rsidRPr="00771E87">
        <w:rPr>
          <w:rFonts w:cstheme="minorHAnsi"/>
          <w:sz w:val="24"/>
          <w:szCs w:val="24"/>
          <w:lang w:eastAsia="pl-PL"/>
        </w:rPr>
        <w:t>wyłączne prawo</w:t>
      </w:r>
      <w:r w:rsidR="007A1375" w:rsidRPr="00771E87">
        <w:rPr>
          <w:rFonts w:cstheme="minorHAnsi"/>
          <w:sz w:val="24"/>
          <w:szCs w:val="24"/>
          <w:lang w:eastAsia="pl-PL"/>
        </w:rPr>
        <w:t xml:space="preserve"> </w:t>
      </w:r>
      <w:r w:rsidRPr="00771E87">
        <w:rPr>
          <w:rFonts w:cstheme="minorHAnsi"/>
          <w:sz w:val="24"/>
          <w:szCs w:val="24"/>
          <w:lang w:eastAsia="pl-PL"/>
        </w:rPr>
        <w:t xml:space="preserve">do </w:t>
      </w:r>
      <w:r w:rsidR="00666F52" w:rsidRPr="00771E87">
        <w:rPr>
          <w:rFonts w:cstheme="minorHAnsi"/>
          <w:sz w:val="24"/>
          <w:szCs w:val="24"/>
          <w:lang w:eastAsia="pl-PL"/>
        </w:rPr>
        <w:t> </w:t>
      </w:r>
      <w:r w:rsidRPr="00771E87">
        <w:rPr>
          <w:rFonts w:cstheme="minorHAnsi"/>
          <w:sz w:val="24"/>
          <w:szCs w:val="24"/>
          <w:lang w:eastAsia="pl-PL"/>
        </w:rPr>
        <w:t>dysponowania</w:t>
      </w:r>
      <w:r w:rsidR="6FBE203F" w:rsidRPr="00771E87">
        <w:rPr>
          <w:rFonts w:cstheme="minorHAnsi"/>
          <w:sz w:val="24"/>
          <w:szCs w:val="24"/>
          <w:lang w:eastAsia="pl-PL"/>
        </w:rPr>
        <w:t xml:space="preserve"> </w:t>
      </w:r>
      <w:r w:rsidRPr="00771E87">
        <w:rPr>
          <w:rFonts w:cstheme="minorHAnsi"/>
          <w:sz w:val="24"/>
          <w:szCs w:val="24"/>
          <w:lang w:eastAsia="pl-PL"/>
        </w:rPr>
        <w:t>przedmiotem zamówienia, a prawo to</w:t>
      </w:r>
      <w:r w:rsidR="6FBE203F" w:rsidRPr="00771E87">
        <w:rPr>
          <w:rFonts w:cstheme="minorHAnsi"/>
          <w:sz w:val="24"/>
          <w:szCs w:val="24"/>
          <w:lang w:eastAsia="pl-PL"/>
        </w:rPr>
        <w:t xml:space="preserve"> </w:t>
      </w:r>
      <w:r w:rsidRPr="00771E87">
        <w:rPr>
          <w:rFonts w:cstheme="minorHAnsi"/>
          <w:sz w:val="24"/>
          <w:szCs w:val="24"/>
          <w:lang w:eastAsia="pl-PL"/>
        </w:rPr>
        <w:t>podlega ochronie ustawowej,</w:t>
      </w:r>
    </w:p>
    <w:p w14:paraId="4515E335" w14:textId="77F62072" w:rsidR="00076373" w:rsidRPr="00771E87" w:rsidRDefault="4D79ADF1" w:rsidP="00033C97">
      <w:pPr>
        <w:autoSpaceDE w:val="0"/>
        <w:autoSpaceDN w:val="0"/>
        <w:adjustRightInd w:val="0"/>
        <w:spacing w:after="0" w:line="360" w:lineRule="auto"/>
        <w:ind w:left="720"/>
        <w:rPr>
          <w:rFonts w:cstheme="minorHAnsi"/>
          <w:sz w:val="24"/>
          <w:szCs w:val="24"/>
          <w:lang w:eastAsia="pl-PL"/>
        </w:rPr>
      </w:pPr>
      <w:r w:rsidRPr="00771E87">
        <w:rPr>
          <w:rFonts w:cstheme="minorHAnsi"/>
          <w:sz w:val="24"/>
          <w:szCs w:val="24"/>
          <w:lang w:eastAsia="pl-PL"/>
        </w:rPr>
        <w:t>o ile nie istnieje rozsądne rozwiązanie alternatywne lub zastępcze, a brak</w:t>
      </w:r>
      <w:r w:rsidR="6FBE203F" w:rsidRPr="00771E87">
        <w:rPr>
          <w:rFonts w:cstheme="minorHAnsi"/>
          <w:sz w:val="24"/>
          <w:szCs w:val="24"/>
          <w:lang w:eastAsia="pl-PL"/>
        </w:rPr>
        <w:t xml:space="preserve"> </w:t>
      </w:r>
      <w:r w:rsidRPr="00771E87">
        <w:rPr>
          <w:rFonts w:cstheme="minorHAnsi"/>
          <w:sz w:val="24"/>
          <w:szCs w:val="24"/>
          <w:lang w:eastAsia="pl-PL"/>
        </w:rPr>
        <w:t xml:space="preserve">konkurencji nie </w:t>
      </w:r>
      <w:r w:rsidR="00666F52" w:rsidRPr="00771E87">
        <w:rPr>
          <w:rFonts w:cstheme="minorHAnsi"/>
          <w:sz w:val="24"/>
          <w:szCs w:val="24"/>
          <w:lang w:eastAsia="pl-PL"/>
        </w:rPr>
        <w:t> </w:t>
      </w:r>
      <w:r w:rsidRPr="00771E87">
        <w:rPr>
          <w:rFonts w:cstheme="minorHAnsi"/>
          <w:sz w:val="24"/>
          <w:szCs w:val="24"/>
          <w:lang w:eastAsia="pl-PL"/>
        </w:rPr>
        <w:t>jest wynikiem sztucznego</w:t>
      </w:r>
      <w:r w:rsidR="6FBE203F" w:rsidRPr="00771E87">
        <w:rPr>
          <w:rFonts w:cstheme="minorHAnsi"/>
          <w:sz w:val="24"/>
          <w:szCs w:val="24"/>
          <w:lang w:eastAsia="pl-PL"/>
        </w:rPr>
        <w:t xml:space="preserve"> </w:t>
      </w:r>
      <w:r w:rsidRPr="00771E87">
        <w:rPr>
          <w:rFonts w:cstheme="minorHAnsi"/>
          <w:sz w:val="24"/>
          <w:szCs w:val="24"/>
          <w:lang w:eastAsia="pl-PL"/>
        </w:rPr>
        <w:t>zawężania parametrów zamówienia,</w:t>
      </w:r>
    </w:p>
    <w:p w14:paraId="4C9D37D8" w14:textId="6693DE67" w:rsidR="00076373" w:rsidRPr="00771E87" w:rsidRDefault="4D79ADF1" w:rsidP="00451844">
      <w:pPr>
        <w:pStyle w:val="Akapitzlist"/>
        <w:numPr>
          <w:ilvl w:val="0"/>
          <w:numId w:val="140"/>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zamówień w zakresie działalności twórczej lub artystycznej, które mogą być</w:t>
      </w:r>
      <w:r w:rsidR="6FBE203F" w:rsidRPr="00771E87">
        <w:rPr>
          <w:rFonts w:cstheme="minorHAnsi"/>
          <w:sz w:val="24"/>
          <w:szCs w:val="24"/>
          <w:lang w:eastAsia="pl-PL"/>
        </w:rPr>
        <w:t xml:space="preserve"> </w:t>
      </w:r>
      <w:r w:rsidRPr="00771E87">
        <w:rPr>
          <w:rFonts w:cstheme="minorHAnsi"/>
          <w:sz w:val="24"/>
          <w:szCs w:val="24"/>
          <w:lang w:eastAsia="pl-PL"/>
        </w:rPr>
        <w:t>zrealizowane tylko przez jednego wykonawcę,</w:t>
      </w:r>
    </w:p>
    <w:p w14:paraId="0C33F0FA" w14:textId="0A8BC414" w:rsidR="00076373" w:rsidRPr="00771E87" w:rsidRDefault="5F71ADEB" w:rsidP="450F1B5E">
      <w:pPr>
        <w:pStyle w:val="Akapitzlist"/>
        <w:numPr>
          <w:ilvl w:val="0"/>
          <w:numId w:val="140"/>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zamówień, których przedmiotem są dostawy na szczególnie korzystnych</w:t>
      </w:r>
      <w:r w:rsidR="2AAA6201" w:rsidRPr="00771E87">
        <w:rPr>
          <w:rFonts w:cstheme="minorHAnsi"/>
          <w:sz w:val="24"/>
          <w:szCs w:val="24"/>
          <w:lang w:eastAsia="pl-PL"/>
        </w:rPr>
        <w:t xml:space="preserve"> </w:t>
      </w:r>
      <w:r w:rsidRPr="00771E87">
        <w:rPr>
          <w:rFonts w:cstheme="minorHAnsi"/>
          <w:sz w:val="24"/>
          <w:szCs w:val="24"/>
          <w:lang w:eastAsia="pl-PL"/>
        </w:rPr>
        <w:t>warunkach</w:t>
      </w:r>
      <w:r w:rsidR="57C23C69" w:rsidRPr="00771E87">
        <w:rPr>
          <w:rFonts w:cstheme="minorHAnsi"/>
          <w:sz w:val="24"/>
          <w:szCs w:val="24"/>
          <w:lang w:eastAsia="pl-PL"/>
        </w:rPr>
        <w:t xml:space="preserve"> </w:t>
      </w:r>
      <w:r w:rsidRPr="00771E87">
        <w:rPr>
          <w:rFonts w:cstheme="minorHAnsi"/>
          <w:sz w:val="24"/>
          <w:szCs w:val="24"/>
          <w:lang w:eastAsia="pl-PL"/>
        </w:rPr>
        <w:t xml:space="preserve">w </w:t>
      </w:r>
      <w:r w:rsidR="00666F52" w:rsidRPr="00771E87">
        <w:rPr>
          <w:rFonts w:cstheme="minorHAnsi"/>
          <w:sz w:val="24"/>
          <w:szCs w:val="24"/>
          <w:lang w:eastAsia="pl-PL"/>
        </w:rPr>
        <w:t> </w:t>
      </w:r>
      <w:r w:rsidRPr="00771E87">
        <w:rPr>
          <w:rFonts w:cstheme="minorHAnsi"/>
          <w:sz w:val="24"/>
          <w:szCs w:val="24"/>
          <w:lang w:eastAsia="pl-PL"/>
        </w:rPr>
        <w:t>związku z likwidacją działalności innego podmiotu,</w:t>
      </w:r>
      <w:r w:rsidR="2AAA6201" w:rsidRPr="00771E87">
        <w:rPr>
          <w:rFonts w:cstheme="minorHAnsi"/>
          <w:sz w:val="24"/>
          <w:szCs w:val="24"/>
          <w:lang w:eastAsia="pl-PL"/>
        </w:rPr>
        <w:t xml:space="preserve"> </w:t>
      </w:r>
      <w:r w:rsidRPr="00771E87">
        <w:rPr>
          <w:rFonts w:cstheme="minorHAnsi"/>
          <w:sz w:val="24"/>
          <w:szCs w:val="24"/>
          <w:lang w:eastAsia="pl-PL"/>
        </w:rPr>
        <w:t xml:space="preserve">postępowaniem egzekucyjnym albo </w:t>
      </w:r>
      <w:r w:rsidR="00666F52" w:rsidRPr="00771E87">
        <w:rPr>
          <w:rFonts w:cstheme="minorHAnsi"/>
          <w:sz w:val="24"/>
          <w:szCs w:val="24"/>
          <w:lang w:eastAsia="pl-PL"/>
        </w:rPr>
        <w:t> </w:t>
      </w:r>
      <w:r w:rsidRPr="00771E87">
        <w:rPr>
          <w:rFonts w:cstheme="minorHAnsi"/>
          <w:sz w:val="24"/>
          <w:szCs w:val="24"/>
          <w:lang w:eastAsia="pl-PL"/>
        </w:rPr>
        <w:t>upadłościowym,</w:t>
      </w:r>
    </w:p>
    <w:p w14:paraId="6FDFA69E" w14:textId="3B4AC7E4" w:rsidR="00076373" w:rsidRPr="00771E87" w:rsidRDefault="5F71ADEB" w:rsidP="450F1B5E">
      <w:pPr>
        <w:pStyle w:val="Akapitzlist"/>
        <w:numPr>
          <w:ilvl w:val="0"/>
          <w:numId w:val="140"/>
        </w:num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zamówień udzielanych wykonawcy wybranemu zgodnie z zasadą</w:t>
      </w:r>
      <w:r w:rsidR="2AAA6201" w:rsidRPr="00771E87">
        <w:rPr>
          <w:rFonts w:cstheme="minorHAnsi"/>
          <w:sz w:val="24"/>
          <w:szCs w:val="24"/>
          <w:lang w:eastAsia="pl-PL"/>
        </w:rPr>
        <w:t xml:space="preserve"> </w:t>
      </w:r>
      <w:r w:rsidRPr="00771E87">
        <w:rPr>
          <w:rFonts w:cstheme="minorHAnsi"/>
          <w:sz w:val="24"/>
          <w:szCs w:val="24"/>
          <w:lang w:eastAsia="pl-PL"/>
        </w:rPr>
        <w:t>konkurencyjności</w:t>
      </w:r>
      <w:r w:rsidR="2C7A9376" w:rsidRPr="00771E87">
        <w:rPr>
          <w:rFonts w:cstheme="minorHAnsi"/>
          <w:sz w:val="24"/>
          <w:szCs w:val="24"/>
          <w:lang w:eastAsia="pl-PL"/>
        </w:rPr>
        <w:t xml:space="preserve"> </w:t>
      </w:r>
      <w:r w:rsidRPr="00771E87">
        <w:rPr>
          <w:rFonts w:cstheme="minorHAnsi"/>
          <w:sz w:val="24"/>
          <w:szCs w:val="24"/>
          <w:lang w:eastAsia="pl-PL"/>
        </w:rPr>
        <w:t xml:space="preserve">na </w:t>
      </w:r>
      <w:r w:rsidR="00666F52" w:rsidRPr="00771E87">
        <w:rPr>
          <w:rFonts w:cstheme="minorHAnsi"/>
          <w:sz w:val="24"/>
          <w:szCs w:val="24"/>
          <w:lang w:eastAsia="pl-PL"/>
        </w:rPr>
        <w:t> </w:t>
      </w:r>
      <w:r w:rsidRPr="00771E87">
        <w:rPr>
          <w:rFonts w:cstheme="minorHAnsi"/>
          <w:sz w:val="24"/>
          <w:szCs w:val="24"/>
          <w:lang w:eastAsia="pl-PL"/>
        </w:rPr>
        <w:t>dodatkowe dostawy, polegających na częściowej</w:t>
      </w:r>
      <w:r w:rsidR="2AAA6201" w:rsidRPr="00771E87">
        <w:rPr>
          <w:rFonts w:cstheme="minorHAnsi"/>
          <w:sz w:val="24"/>
          <w:szCs w:val="24"/>
          <w:lang w:eastAsia="pl-PL"/>
        </w:rPr>
        <w:t xml:space="preserve"> </w:t>
      </w:r>
      <w:r w:rsidRPr="00771E87">
        <w:rPr>
          <w:rFonts w:cstheme="minorHAnsi"/>
          <w:sz w:val="24"/>
          <w:szCs w:val="24"/>
          <w:lang w:eastAsia="pl-PL"/>
        </w:rPr>
        <w:t>wymianie dostarczonych produktów lub instalacji albo zwiększeniu bieżących</w:t>
      </w:r>
      <w:r w:rsidR="2AAA6201" w:rsidRPr="00771E87">
        <w:rPr>
          <w:rFonts w:cstheme="minorHAnsi"/>
          <w:sz w:val="24"/>
          <w:szCs w:val="24"/>
          <w:lang w:eastAsia="pl-PL"/>
        </w:rPr>
        <w:t xml:space="preserve"> </w:t>
      </w:r>
      <w:r w:rsidRPr="00771E87">
        <w:rPr>
          <w:rFonts w:cstheme="minorHAnsi"/>
          <w:sz w:val="24"/>
          <w:szCs w:val="24"/>
          <w:lang w:eastAsia="pl-PL"/>
        </w:rPr>
        <w:t>dostaw lub rozbudowie istniejących instalacji,</w:t>
      </w:r>
      <w:r w:rsidR="00684BB3" w:rsidRPr="00771E87">
        <w:rPr>
          <w:rFonts w:cstheme="minorHAnsi"/>
          <w:sz w:val="24"/>
          <w:szCs w:val="24"/>
          <w:lang w:eastAsia="pl-PL"/>
        </w:rPr>
        <w:t xml:space="preserve"> </w:t>
      </w:r>
      <w:r w:rsidRPr="00771E87">
        <w:rPr>
          <w:rFonts w:cstheme="minorHAnsi"/>
          <w:sz w:val="24"/>
          <w:szCs w:val="24"/>
          <w:lang w:eastAsia="pl-PL"/>
        </w:rPr>
        <w:t xml:space="preserve">a </w:t>
      </w:r>
      <w:r w:rsidR="00666F52" w:rsidRPr="00771E87">
        <w:rPr>
          <w:rFonts w:cstheme="minorHAnsi"/>
          <w:sz w:val="24"/>
          <w:szCs w:val="24"/>
          <w:lang w:eastAsia="pl-PL"/>
        </w:rPr>
        <w:t> </w:t>
      </w:r>
      <w:r w:rsidRPr="00771E87">
        <w:rPr>
          <w:rFonts w:cstheme="minorHAnsi"/>
          <w:sz w:val="24"/>
          <w:szCs w:val="24"/>
          <w:lang w:eastAsia="pl-PL"/>
        </w:rPr>
        <w:t>zmiana wykonawcy</w:t>
      </w:r>
      <w:r w:rsidR="2AAA6201" w:rsidRPr="00771E87">
        <w:rPr>
          <w:rFonts w:cstheme="minorHAnsi"/>
          <w:sz w:val="24"/>
          <w:szCs w:val="24"/>
          <w:lang w:eastAsia="pl-PL"/>
        </w:rPr>
        <w:t xml:space="preserve"> </w:t>
      </w:r>
      <w:r w:rsidRPr="00771E87">
        <w:rPr>
          <w:rFonts w:cstheme="minorHAnsi"/>
          <w:sz w:val="24"/>
          <w:szCs w:val="24"/>
          <w:lang w:eastAsia="pl-PL"/>
        </w:rPr>
        <w:t>prowadziłaby do nabycia materiałów o innych właściwościach technicznych,</w:t>
      </w:r>
      <w:r w:rsidR="2AAA6201" w:rsidRPr="00771E87">
        <w:rPr>
          <w:rFonts w:cstheme="minorHAnsi"/>
          <w:sz w:val="24"/>
          <w:szCs w:val="24"/>
          <w:lang w:eastAsia="pl-PL"/>
        </w:rPr>
        <w:t xml:space="preserve"> </w:t>
      </w:r>
      <w:r w:rsidRPr="00771E87">
        <w:rPr>
          <w:rFonts w:cstheme="minorHAnsi"/>
          <w:sz w:val="24"/>
          <w:szCs w:val="24"/>
          <w:lang w:eastAsia="pl-PL"/>
        </w:rPr>
        <w:t>co powodowałoby niekompatybilność techniczną lub nieproporcjonalnie duże</w:t>
      </w:r>
      <w:r w:rsidR="2AAA6201" w:rsidRPr="00771E87">
        <w:rPr>
          <w:rFonts w:cstheme="minorHAnsi"/>
          <w:sz w:val="24"/>
          <w:szCs w:val="24"/>
          <w:lang w:eastAsia="pl-PL"/>
        </w:rPr>
        <w:t xml:space="preserve"> </w:t>
      </w:r>
      <w:r w:rsidRPr="00771E87">
        <w:rPr>
          <w:rFonts w:cstheme="minorHAnsi"/>
          <w:sz w:val="24"/>
          <w:szCs w:val="24"/>
          <w:lang w:eastAsia="pl-PL"/>
        </w:rPr>
        <w:t>trudności techniczne w użytkowaniu i utrzymaniu tych produktów lub instalacji</w:t>
      </w:r>
      <w:r w:rsidR="2AAA6201" w:rsidRPr="00771E87">
        <w:rPr>
          <w:rFonts w:cstheme="minorHAnsi"/>
          <w:sz w:val="24"/>
          <w:szCs w:val="24"/>
          <w:lang w:eastAsia="pl-PL"/>
        </w:rPr>
        <w:t xml:space="preserve"> </w:t>
      </w:r>
      <w:r w:rsidRPr="00771E87">
        <w:rPr>
          <w:rFonts w:cstheme="minorHAnsi"/>
          <w:sz w:val="24"/>
          <w:szCs w:val="24"/>
          <w:lang w:eastAsia="pl-PL"/>
        </w:rPr>
        <w:t>(czas trwania umowy w sprawie zamówienia na dostawy dodatkowe nie może</w:t>
      </w:r>
      <w:r w:rsidR="2AAA6201" w:rsidRPr="00771E87">
        <w:rPr>
          <w:rFonts w:cstheme="minorHAnsi"/>
          <w:sz w:val="24"/>
          <w:szCs w:val="24"/>
          <w:lang w:eastAsia="pl-PL"/>
        </w:rPr>
        <w:t xml:space="preserve"> </w:t>
      </w:r>
      <w:r w:rsidRPr="00771E87">
        <w:rPr>
          <w:rFonts w:cstheme="minorHAnsi"/>
          <w:sz w:val="24"/>
          <w:szCs w:val="24"/>
          <w:lang w:eastAsia="pl-PL"/>
        </w:rPr>
        <w:t>przekraczać</w:t>
      </w:r>
      <w:r w:rsidR="20A5B8C8" w:rsidRPr="00771E87">
        <w:rPr>
          <w:rFonts w:cstheme="minorHAnsi"/>
          <w:sz w:val="24"/>
          <w:szCs w:val="24"/>
          <w:lang w:eastAsia="pl-PL"/>
        </w:rPr>
        <w:t xml:space="preserve"> okresu realizacji przedsięwzięcia MŚP</w:t>
      </w:r>
      <w:r w:rsidRPr="00771E87">
        <w:rPr>
          <w:rFonts w:cstheme="minorHAnsi"/>
          <w:sz w:val="24"/>
          <w:szCs w:val="24"/>
          <w:lang w:eastAsia="pl-PL"/>
        </w:rPr>
        <w:t>),</w:t>
      </w:r>
    </w:p>
    <w:p w14:paraId="6CABF90C" w14:textId="4AD41877" w:rsidR="00076373" w:rsidRPr="00771E87" w:rsidRDefault="3BAD85E2" w:rsidP="00666F52">
      <w:pPr>
        <w:pStyle w:val="Akapitzlist"/>
        <w:numPr>
          <w:ilvl w:val="0"/>
          <w:numId w:val="140"/>
        </w:numPr>
        <w:autoSpaceDE w:val="0"/>
        <w:autoSpaceDN w:val="0"/>
        <w:adjustRightInd w:val="0"/>
        <w:spacing w:after="360" w:line="360" w:lineRule="auto"/>
        <w:ind w:left="714" w:hanging="357"/>
        <w:rPr>
          <w:rFonts w:cstheme="minorHAnsi"/>
          <w:sz w:val="24"/>
          <w:szCs w:val="24"/>
          <w:lang w:eastAsia="pl-PL"/>
        </w:rPr>
      </w:pPr>
      <w:r w:rsidRPr="00771E87">
        <w:rPr>
          <w:rFonts w:cstheme="minorHAnsi"/>
          <w:sz w:val="24"/>
          <w:szCs w:val="24"/>
          <w:lang w:eastAsia="pl-PL"/>
        </w:rPr>
        <w:t>przypadku udzielenia wykonawcy wybranemu zgodnie z zasadą</w:t>
      </w:r>
      <w:r w:rsidR="7CBA19C1" w:rsidRPr="00771E87">
        <w:rPr>
          <w:rFonts w:cstheme="minorHAnsi"/>
          <w:sz w:val="24"/>
          <w:szCs w:val="24"/>
          <w:lang w:eastAsia="pl-PL"/>
        </w:rPr>
        <w:t xml:space="preserve"> </w:t>
      </w:r>
      <w:r w:rsidRPr="00771E87">
        <w:rPr>
          <w:rFonts w:cstheme="minorHAnsi"/>
          <w:sz w:val="24"/>
          <w:szCs w:val="24"/>
          <w:lang w:eastAsia="pl-PL"/>
        </w:rPr>
        <w:t>konkurencyjności zamówień na dostawy polegających na częściowej</w:t>
      </w:r>
      <w:r w:rsidR="7CBA19C1" w:rsidRPr="00771E87">
        <w:rPr>
          <w:rFonts w:cstheme="minorHAnsi"/>
          <w:sz w:val="24"/>
          <w:szCs w:val="24"/>
          <w:lang w:eastAsia="pl-PL"/>
        </w:rPr>
        <w:t xml:space="preserve"> </w:t>
      </w:r>
      <w:r w:rsidRPr="00771E87">
        <w:rPr>
          <w:rFonts w:cstheme="minorHAnsi"/>
          <w:sz w:val="24"/>
          <w:szCs w:val="24"/>
          <w:lang w:eastAsia="pl-PL"/>
        </w:rPr>
        <w:t>wymianie dostarczonych produktów</w:t>
      </w:r>
      <w:r w:rsidR="00684BB3" w:rsidRPr="00771E87">
        <w:rPr>
          <w:rFonts w:cstheme="minorHAnsi"/>
          <w:sz w:val="24"/>
          <w:szCs w:val="24"/>
          <w:lang w:eastAsia="pl-PL"/>
        </w:rPr>
        <w:t xml:space="preserve"> </w:t>
      </w:r>
      <w:r w:rsidRPr="00771E87">
        <w:rPr>
          <w:rFonts w:cstheme="minorHAnsi"/>
          <w:sz w:val="24"/>
          <w:szCs w:val="24"/>
          <w:lang w:eastAsia="pl-PL"/>
        </w:rPr>
        <w:t xml:space="preserve">lub </w:t>
      </w:r>
      <w:r w:rsidR="00666F52" w:rsidRPr="00771E87">
        <w:rPr>
          <w:rFonts w:cstheme="minorHAnsi"/>
          <w:sz w:val="24"/>
          <w:szCs w:val="24"/>
          <w:lang w:eastAsia="pl-PL"/>
        </w:rPr>
        <w:t> </w:t>
      </w:r>
      <w:r w:rsidRPr="00771E87">
        <w:rPr>
          <w:rFonts w:cstheme="minorHAnsi"/>
          <w:sz w:val="24"/>
          <w:szCs w:val="24"/>
          <w:lang w:eastAsia="pl-PL"/>
        </w:rPr>
        <w:t>instalacji albo zwiększeniu bieżących</w:t>
      </w:r>
      <w:r w:rsidR="7CBA19C1" w:rsidRPr="00771E87">
        <w:rPr>
          <w:rFonts w:cstheme="minorHAnsi"/>
          <w:sz w:val="24"/>
          <w:szCs w:val="24"/>
          <w:lang w:eastAsia="pl-PL"/>
        </w:rPr>
        <w:t xml:space="preserve"> </w:t>
      </w:r>
      <w:r w:rsidRPr="00771E87">
        <w:rPr>
          <w:rFonts w:cstheme="minorHAnsi"/>
          <w:sz w:val="24"/>
          <w:szCs w:val="24"/>
          <w:lang w:eastAsia="pl-PL"/>
        </w:rPr>
        <w:t>dostaw lub rozbudowie istniejących instalacji,</w:t>
      </w:r>
      <w:r w:rsidR="00684BB3" w:rsidRPr="00771E87">
        <w:rPr>
          <w:rFonts w:cstheme="minorHAnsi"/>
          <w:sz w:val="24"/>
          <w:szCs w:val="24"/>
          <w:lang w:eastAsia="pl-PL"/>
        </w:rPr>
        <w:t xml:space="preserve"> </w:t>
      </w:r>
      <w:r w:rsidRPr="00771E87">
        <w:rPr>
          <w:rFonts w:cstheme="minorHAnsi"/>
          <w:sz w:val="24"/>
          <w:szCs w:val="24"/>
          <w:lang w:eastAsia="pl-PL"/>
        </w:rPr>
        <w:t xml:space="preserve">gdy </w:t>
      </w:r>
      <w:r w:rsidR="00666F52" w:rsidRPr="00771E87">
        <w:rPr>
          <w:rFonts w:cstheme="minorHAnsi"/>
          <w:sz w:val="24"/>
          <w:szCs w:val="24"/>
          <w:lang w:eastAsia="pl-PL"/>
        </w:rPr>
        <w:t> </w:t>
      </w:r>
      <w:r w:rsidRPr="00771E87">
        <w:rPr>
          <w:rFonts w:cstheme="minorHAnsi"/>
          <w:sz w:val="24"/>
          <w:szCs w:val="24"/>
          <w:lang w:eastAsia="pl-PL"/>
        </w:rPr>
        <w:t>zmiana wykonawcy</w:t>
      </w:r>
      <w:r w:rsidR="7CBA19C1" w:rsidRPr="00771E87">
        <w:rPr>
          <w:rFonts w:cstheme="minorHAnsi"/>
          <w:sz w:val="24"/>
          <w:szCs w:val="24"/>
          <w:lang w:eastAsia="pl-PL"/>
        </w:rPr>
        <w:t xml:space="preserve"> </w:t>
      </w:r>
      <w:r w:rsidRPr="00771E87">
        <w:rPr>
          <w:rFonts w:cstheme="minorHAnsi"/>
          <w:sz w:val="24"/>
          <w:szCs w:val="24"/>
          <w:lang w:eastAsia="pl-PL"/>
        </w:rPr>
        <w:t>prowadziłaby do nabycia materiałów o innych właściwościach technicznych,</w:t>
      </w:r>
      <w:r w:rsidR="7CBA19C1" w:rsidRPr="00771E87">
        <w:rPr>
          <w:rFonts w:cstheme="minorHAnsi"/>
          <w:sz w:val="24"/>
          <w:szCs w:val="24"/>
          <w:lang w:eastAsia="pl-PL"/>
        </w:rPr>
        <w:t xml:space="preserve"> </w:t>
      </w:r>
      <w:r w:rsidRPr="00771E87">
        <w:rPr>
          <w:rFonts w:cstheme="minorHAnsi"/>
          <w:sz w:val="24"/>
          <w:szCs w:val="24"/>
          <w:lang w:eastAsia="pl-PL"/>
        </w:rPr>
        <w:t>co powodowałoby niekompatybilność techniczną lub nieproporcjonalnie duże</w:t>
      </w:r>
      <w:r w:rsidR="7CBA19C1" w:rsidRPr="00771E87">
        <w:rPr>
          <w:rFonts w:cstheme="minorHAnsi"/>
          <w:sz w:val="24"/>
          <w:szCs w:val="24"/>
          <w:lang w:eastAsia="pl-PL"/>
        </w:rPr>
        <w:t xml:space="preserve"> </w:t>
      </w:r>
      <w:r w:rsidRPr="00771E87">
        <w:rPr>
          <w:rFonts w:cstheme="minorHAnsi"/>
          <w:sz w:val="24"/>
          <w:szCs w:val="24"/>
          <w:lang w:eastAsia="pl-PL"/>
        </w:rPr>
        <w:t>trudności techniczne w użytkowaniu i utrzymaniu tych produktów lub instalacji.</w:t>
      </w:r>
    </w:p>
    <w:p w14:paraId="61DEEED1" w14:textId="63FC61E5" w:rsidR="00EE659A" w:rsidRPr="00771E87" w:rsidRDefault="5912FDFB" w:rsidP="00666F52">
      <w:pPr>
        <w:autoSpaceDE w:val="0"/>
        <w:autoSpaceDN w:val="0"/>
        <w:adjustRightInd w:val="0"/>
        <w:spacing w:after="360" w:line="360" w:lineRule="auto"/>
        <w:rPr>
          <w:rFonts w:cstheme="minorHAnsi"/>
          <w:sz w:val="24"/>
          <w:szCs w:val="24"/>
          <w:lang w:eastAsia="pl-PL"/>
        </w:rPr>
      </w:pPr>
      <w:r w:rsidRPr="00771E87">
        <w:rPr>
          <w:rFonts w:cstheme="minorHAnsi"/>
          <w:sz w:val="24"/>
          <w:szCs w:val="24"/>
          <w:lang w:eastAsia="pl-PL"/>
        </w:rPr>
        <w:t>MŚP szczegółowo pisemnie uzasadnia przypadki, w których nie zastosował</w:t>
      </w:r>
      <w:r w:rsidR="40D2D4C0" w:rsidRPr="00771E87">
        <w:rPr>
          <w:rFonts w:cstheme="minorHAnsi"/>
          <w:sz w:val="24"/>
          <w:szCs w:val="24"/>
          <w:lang w:eastAsia="pl-PL"/>
        </w:rPr>
        <w:t>o</w:t>
      </w:r>
      <w:r w:rsidRPr="00771E87">
        <w:rPr>
          <w:rFonts w:cstheme="minorHAnsi"/>
          <w:sz w:val="24"/>
          <w:szCs w:val="24"/>
          <w:lang w:eastAsia="pl-PL"/>
        </w:rPr>
        <w:t xml:space="preserve"> się do zasady konkurencyjności dla zamówień powyżej 50 tys. PLN netto, w oparciu o ww. przesłanki. </w:t>
      </w:r>
    </w:p>
    <w:p w14:paraId="25F03672" w14:textId="5709F199" w:rsidR="008A2D82" w:rsidRPr="00771E87" w:rsidRDefault="216586F7" w:rsidP="008C1401">
      <w:pPr>
        <w:autoSpaceDE w:val="0"/>
        <w:autoSpaceDN w:val="0"/>
        <w:adjustRightInd w:val="0"/>
        <w:spacing w:after="120" w:line="360" w:lineRule="auto"/>
        <w:rPr>
          <w:rFonts w:cstheme="minorHAnsi"/>
          <w:sz w:val="24"/>
          <w:szCs w:val="24"/>
          <w:lang w:eastAsia="pl-PL"/>
        </w:rPr>
      </w:pPr>
      <w:r w:rsidRPr="00771E87">
        <w:rPr>
          <w:rFonts w:cstheme="minorHAnsi"/>
          <w:sz w:val="24"/>
          <w:szCs w:val="24"/>
          <w:lang w:eastAsia="pl-PL"/>
        </w:rPr>
        <w:lastRenderedPageBreak/>
        <w:t>Jeżeli w wyniku prawidłowego zastosowania zasady konkurencyjności nie</w:t>
      </w:r>
      <w:r w:rsidR="4AAE3CBC" w:rsidRPr="00771E87">
        <w:rPr>
          <w:rFonts w:cstheme="minorHAnsi"/>
          <w:sz w:val="24"/>
          <w:szCs w:val="24"/>
          <w:lang w:eastAsia="pl-PL"/>
        </w:rPr>
        <w:t xml:space="preserve"> </w:t>
      </w:r>
      <w:r w:rsidRPr="00771E87">
        <w:rPr>
          <w:rFonts w:cstheme="minorHAnsi"/>
          <w:sz w:val="24"/>
          <w:szCs w:val="24"/>
          <w:lang w:eastAsia="pl-PL"/>
        </w:rPr>
        <w:t>wpłynęła żadna oferta</w:t>
      </w:r>
      <w:r w:rsidR="7D173127" w:rsidRPr="00771E87">
        <w:rPr>
          <w:rFonts w:cstheme="minorHAnsi"/>
          <w:sz w:val="24"/>
          <w:szCs w:val="24"/>
          <w:lang w:eastAsia="pl-PL"/>
        </w:rPr>
        <w:t xml:space="preserve"> </w:t>
      </w:r>
      <w:r w:rsidRPr="00771E87">
        <w:rPr>
          <w:rFonts w:cstheme="minorHAnsi"/>
          <w:sz w:val="24"/>
          <w:szCs w:val="24"/>
          <w:lang w:eastAsia="pl-PL"/>
        </w:rPr>
        <w:t>lub wpłynęły jedynie oferty podlegające odrzuceniu, albo</w:t>
      </w:r>
      <w:r w:rsidR="4AAE3CBC" w:rsidRPr="00771E87">
        <w:rPr>
          <w:rFonts w:cstheme="minorHAnsi"/>
          <w:sz w:val="24"/>
          <w:szCs w:val="24"/>
          <w:lang w:eastAsia="pl-PL"/>
        </w:rPr>
        <w:t xml:space="preserve"> </w:t>
      </w:r>
      <w:r w:rsidRPr="00771E87">
        <w:rPr>
          <w:rFonts w:cstheme="minorHAnsi"/>
          <w:sz w:val="24"/>
          <w:szCs w:val="24"/>
          <w:lang w:eastAsia="pl-PL"/>
        </w:rPr>
        <w:t>żaden wykonawca nie spełnił warunków udziału w postępowaniu, o ile</w:t>
      </w:r>
      <w:r w:rsidR="4AAE3CBC" w:rsidRPr="00771E87">
        <w:rPr>
          <w:rFonts w:cstheme="minorHAnsi"/>
          <w:sz w:val="24"/>
          <w:szCs w:val="24"/>
          <w:lang w:eastAsia="pl-PL"/>
        </w:rPr>
        <w:t xml:space="preserve"> </w:t>
      </w:r>
      <w:r w:rsidRPr="00771E87">
        <w:rPr>
          <w:rFonts w:cstheme="minorHAnsi"/>
          <w:sz w:val="24"/>
          <w:szCs w:val="24"/>
          <w:lang w:eastAsia="pl-PL"/>
        </w:rPr>
        <w:t>zamawiający stawiał takie warunki wykonawcom, zawarcie umowy w sprawie</w:t>
      </w:r>
      <w:r w:rsidR="4AAE3CBC" w:rsidRPr="00771E87">
        <w:rPr>
          <w:rFonts w:cstheme="minorHAnsi"/>
          <w:sz w:val="24"/>
          <w:szCs w:val="24"/>
          <w:lang w:eastAsia="pl-PL"/>
        </w:rPr>
        <w:t xml:space="preserve"> </w:t>
      </w:r>
      <w:r w:rsidRPr="00771E87">
        <w:rPr>
          <w:rFonts w:cstheme="minorHAnsi"/>
          <w:sz w:val="24"/>
          <w:szCs w:val="24"/>
          <w:lang w:eastAsia="pl-PL"/>
        </w:rPr>
        <w:t>realizacji zamówienia z pominięciem zasady konkurencyjności jest możliwe, gdy</w:t>
      </w:r>
      <w:r w:rsidR="4AAE3CBC" w:rsidRPr="00771E87">
        <w:rPr>
          <w:rFonts w:cstheme="minorHAnsi"/>
          <w:sz w:val="24"/>
          <w:szCs w:val="24"/>
          <w:lang w:eastAsia="pl-PL"/>
        </w:rPr>
        <w:t xml:space="preserve"> </w:t>
      </w:r>
      <w:r w:rsidR="00666F52" w:rsidRPr="00771E87">
        <w:rPr>
          <w:rFonts w:cstheme="minorHAnsi"/>
          <w:sz w:val="24"/>
          <w:szCs w:val="24"/>
          <w:lang w:eastAsia="pl-PL"/>
        </w:rPr>
        <w:t> </w:t>
      </w:r>
      <w:r w:rsidRPr="00771E87">
        <w:rPr>
          <w:rFonts w:cstheme="minorHAnsi"/>
          <w:sz w:val="24"/>
          <w:szCs w:val="24"/>
          <w:lang w:eastAsia="pl-PL"/>
        </w:rPr>
        <w:t>pierwotne warunki zamówienia nie zostały zmienione.</w:t>
      </w:r>
    </w:p>
    <w:p w14:paraId="65C9A5E8" w14:textId="4DC31E91" w:rsidR="007C09D8" w:rsidRPr="00771E87" w:rsidRDefault="008A2D82" w:rsidP="00666F52">
      <w:pPr>
        <w:autoSpaceDE w:val="0"/>
        <w:autoSpaceDN w:val="0"/>
        <w:adjustRightInd w:val="0"/>
        <w:spacing w:after="480" w:line="360" w:lineRule="auto"/>
        <w:rPr>
          <w:rFonts w:cstheme="minorHAnsi"/>
          <w:sz w:val="24"/>
          <w:szCs w:val="24"/>
        </w:rPr>
      </w:pPr>
      <w:r w:rsidRPr="00771E87">
        <w:rPr>
          <w:rFonts w:cstheme="minorHAnsi"/>
          <w:sz w:val="24"/>
          <w:szCs w:val="24"/>
        </w:rPr>
        <w:t>Zawarcie umowy w sprawie zamówienia następuje w formie pisemnej lub w formie elektronicznej, o których mowa w art. 78 i art. 78¹ Kodeksu cywilnego.</w:t>
      </w:r>
    </w:p>
    <w:p w14:paraId="5A9C86AC" w14:textId="41EBFDFA" w:rsidR="00F20F5B" w:rsidRPr="00771E87" w:rsidRDefault="1051A7C0" w:rsidP="00E57A4B">
      <w:pPr>
        <w:pStyle w:val="NCBR2Nagowek"/>
        <w:spacing w:after="360"/>
        <w:rPr>
          <w:rFonts w:asciiTheme="minorHAnsi" w:hAnsiTheme="minorHAnsi" w:cstheme="minorHAnsi"/>
          <w:sz w:val="24"/>
          <w:szCs w:val="24"/>
        </w:rPr>
      </w:pPr>
      <w:bookmarkStart w:id="23" w:name="_Toc162526818"/>
      <w:r w:rsidRPr="00771E87">
        <w:rPr>
          <w:rFonts w:asciiTheme="minorHAnsi" w:hAnsiTheme="minorHAnsi" w:cstheme="minorHAnsi"/>
          <w:sz w:val="24"/>
          <w:szCs w:val="24"/>
        </w:rPr>
        <w:t>2.</w:t>
      </w:r>
      <w:r w:rsidR="6CB6BEDF" w:rsidRPr="00771E87">
        <w:rPr>
          <w:rFonts w:asciiTheme="minorHAnsi" w:hAnsiTheme="minorHAnsi" w:cstheme="minorHAnsi"/>
          <w:sz w:val="24"/>
          <w:szCs w:val="24"/>
        </w:rPr>
        <w:t>9</w:t>
      </w:r>
      <w:r w:rsidR="0186E5EC" w:rsidRPr="00771E87">
        <w:rPr>
          <w:rFonts w:asciiTheme="minorHAnsi" w:hAnsiTheme="minorHAnsi" w:cstheme="minorHAnsi"/>
          <w:sz w:val="24"/>
          <w:szCs w:val="24"/>
        </w:rPr>
        <w:t xml:space="preserve"> Zasada </w:t>
      </w:r>
      <w:r w:rsidR="60BD698F" w:rsidRPr="00771E87">
        <w:rPr>
          <w:rFonts w:asciiTheme="minorHAnsi" w:hAnsiTheme="minorHAnsi" w:cstheme="minorHAnsi"/>
          <w:sz w:val="24"/>
          <w:szCs w:val="24"/>
        </w:rPr>
        <w:t>“</w:t>
      </w:r>
      <w:r w:rsidR="7D20E02A" w:rsidRPr="00771E87">
        <w:rPr>
          <w:rFonts w:asciiTheme="minorHAnsi" w:hAnsiTheme="minorHAnsi" w:cstheme="minorHAnsi"/>
          <w:sz w:val="24"/>
          <w:szCs w:val="24"/>
        </w:rPr>
        <w:t>n</w:t>
      </w:r>
      <w:r w:rsidR="60BD698F" w:rsidRPr="00771E87">
        <w:rPr>
          <w:rFonts w:asciiTheme="minorHAnsi" w:hAnsiTheme="minorHAnsi" w:cstheme="minorHAnsi"/>
          <w:sz w:val="24"/>
          <w:szCs w:val="24"/>
        </w:rPr>
        <w:t>ie czyń znaczącej szkody</w:t>
      </w:r>
      <w:r w:rsidR="133BB011" w:rsidRPr="00771E87">
        <w:rPr>
          <w:rFonts w:asciiTheme="minorHAnsi" w:hAnsiTheme="minorHAnsi" w:cstheme="minorHAnsi"/>
          <w:sz w:val="24"/>
          <w:szCs w:val="24"/>
        </w:rPr>
        <w:t>”</w:t>
      </w:r>
      <w:r w:rsidR="00E57A4B" w:rsidRPr="00771E87">
        <w:rPr>
          <w:rFonts w:asciiTheme="minorHAnsi" w:hAnsiTheme="minorHAnsi" w:cstheme="minorHAnsi"/>
          <w:sz w:val="24"/>
          <w:szCs w:val="24"/>
        </w:rPr>
        <w:t>.</w:t>
      </w:r>
      <w:bookmarkEnd w:id="23"/>
    </w:p>
    <w:p w14:paraId="5836C82C" w14:textId="60D0B223" w:rsidR="007C09D8" w:rsidRPr="00771E87" w:rsidRDefault="4AFC2DCD" w:rsidP="00E57A4B">
      <w:pPr>
        <w:pStyle w:val="Default"/>
        <w:spacing w:after="360" w:line="360" w:lineRule="auto"/>
        <w:rPr>
          <w:rFonts w:asciiTheme="minorHAnsi" w:hAnsiTheme="minorHAnsi" w:cstheme="minorHAnsi"/>
        </w:rPr>
      </w:pPr>
      <w:r w:rsidRPr="302726D1">
        <w:rPr>
          <w:rFonts w:asciiTheme="minorHAnsi" w:hAnsiTheme="minorHAnsi" w:cstheme="minorBidi"/>
        </w:rPr>
        <w:t>Przedsięwzięcia MŚP muszą być zgodne z zasadą „</w:t>
      </w:r>
      <w:r w:rsidR="27A9A53E" w:rsidRPr="302726D1">
        <w:rPr>
          <w:rFonts w:asciiTheme="minorHAnsi" w:hAnsiTheme="minorHAnsi" w:cstheme="minorBidi"/>
        </w:rPr>
        <w:t>n</w:t>
      </w:r>
      <w:r w:rsidRPr="302726D1">
        <w:rPr>
          <w:rFonts w:asciiTheme="minorHAnsi" w:hAnsiTheme="minorHAnsi" w:cstheme="minorBidi"/>
        </w:rPr>
        <w:t>ie czyń znaczącej szkody</w:t>
      </w:r>
      <w:r w:rsidR="6E6AEF36" w:rsidRPr="302726D1">
        <w:rPr>
          <w:rFonts w:asciiTheme="minorHAnsi" w:hAnsiTheme="minorHAnsi" w:cstheme="minorBidi"/>
        </w:rPr>
        <w:t>”</w:t>
      </w:r>
      <w:r w:rsidRPr="302726D1">
        <w:rPr>
          <w:rFonts w:asciiTheme="minorHAnsi" w:hAnsiTheme="minorHAnsi" w:cstheme="minorBidi"/>
        </w:rPr>
        <w:t xml:space="preserve"> – zasadą DNSH</w:t>
      </w:r>
      <w:r w:rsidR="00FD6CEA" w:rsidRPr="302726D1">
        <w:rPr>
          <w:rStyle w:val="Odwoanieprzypisudolnego"/>
          <w:rFonts w:asciiTheme="minorHAnsi" w:hAnsiTheme="minorHAnsi" w:cstheme="minorBidi"/>
        </w:rPr>
        <w:footnoteReference w:id="6"/>
      </w:r>
      <w:r w:rsidR="741A5DFA" w:rsidRPr="302726D1">
        <w:rPr>
          <w:rFonts w:asciiTheme="minorHAnsi" w:hAnsiTheme="minorHAnsi" w:cstheme="minorBidi"/>
        </w:rPr>
        <w:t xml:space="preserve"> </w:t>
      </w:r>
      <w:r w:rsidR="580EE2A1" w:rsidRPr="302726D1">
        <w:rPr>
          <w:rFonts w:asciiTheme="minorHAnsi" w:hAnsiTheme="minorHAnsi" w:cstheme="minorBidi"/>
        </w:rPr>
        <w:t>(</w:t>
      </w:r>
      <w:r w:rsidR="40CFA4D8" w:rsidRPr="302726D1">
        <w:rPr>
          <w:rFonts w:asciiTheme="minorHAnsi" w:hAnsiTheme="minorHAnsi" w:cstheme="minorBidi"/>
        </w:rPr>
        <w:t>ang.</w:t>
      </w:r>
      <w:r w:rsidR="00F00B76">
        <w:rPr>
          <w:rFonts w:asciiTheme="minorHAnsi" w:hAnsiTheme="minorHAnsi" w:cstheme="minorBidi"/>
        </w:rPr>
        <w:t> </w:t>
      </w:r>
      <w:r w:rsidR="40CFA4D8" w:rsidRPr="302726D1">
        <w:rPr>
          <w:rFonts w:asciiTheme="minorHAnsi" w:hAnsiTheme="minorHAnsi" w:cstheme="minorBidi"/>
        </w:rPr>
        <w:t>D</w:t>
      </w:r>
      <w:r w:rsidR="09DF7BD2" w:rsidRPr="302726D1">
        <w:rPr>
          <w:rFonts w:asciiTheme="minorHAnsi" w:hAnsiTheme="minorHAnsi" w:cstheme="minorBidi"/>
        </w:rPr>
        <w:t xml:space="preserve">o </w:t>
      </w:r>
      <w:r w:rsidR="4E5EADF7" w:rsidRPr="302726D1">
        <w:rPr>
          <w:rFonts w:asciiTheme="minorHAnsi" w:hAnsiTheme="minorHAnsi" w:cstheme="minorBidi"/>
        </w:rPr>
        <w:t>N</w:t>
      </w:r>
      <w:r w:rsidR="09DF7BD2" w:rsidRPr="302726D1">
        <w:rPr>
          <w:rFonts w:asciiTheme="minorHAnsi" w:hAnsiTheme="minorHAnsi" w:cstheme="minorBidi"/>
        </w:rPr>
        <w:t xml:space="preserve">o </w:t>
      </w:r>
      <w:proofErr w:type="spellStart"/>
      <w:r w:rsidR="701F4427" w:rsidRPr="302726D1">
        <w:rPr>
          <w:rFonts w:asciiTheme="minorHAnsi" w:hAnsiTheme="minorHAnsi" w:cstheme="minorBidi"/>
        </w:rPr>
        <w:t>S</w:t>
      </w:r>
      <w:r w:rsidR="09DF7BD2" w:rsidRPr="302726D1">
        <w:rPr>
          <w:rFonts w:asciiTheme="minorHAnsi" w:hAnsiTheme="minorHAnsi" w:cstheme="minorBidi"/>
        </w:rPr>
        <w:t>ignificant</w:t>
      </w:r>
      <w:proofErr w:type="spellEnd"/>
      <w:r w:rsidR="09DF7BD2" w:rsidRPr="302726D1">
        <w:rPr>
          <w:rFonts w:asciiTheme="minorHAnsi" w:hAnsiTheme="minorHAnsi" w:cstheme="minorBidi"/>
        </w:rPr>
        <w:t xml:space="preserve"> </w:t>
      </w:r>
      <w:proofErr w:type="spellStart"/>
      <w:r w:rsidR="3E75C9D6" w:rsidRPr="302726D1">
        <w:rPr>
          <w:rFonts w:asciiTheme="minorHAnsi" w:hAnsiTheme="minorHAnsi" w:cstheme="minorBidi"/>
        </w:rPr>
        <w:t>H</w:t>
      </w:r>
      <w:r w:rsidR="09DF7BD2" w:rsidRPr="302726D1">
        <w:rPr>
          <w:rFonts w:asciiTheme="minorHAnsi" w:hAnsiTheme="minorHAnsi" w:cstheme="minorBidi"/>
        </w:rPr>
        <w:t>arm</w:t>
      </w:r>
      <w:proofErr w:type="spellEnd"/>
      <w:r w:rsidR="09DF7BD2" w:rsidRPr="302726D1">
        <w:rPr>
          <w:rFonts w:asciiTheme="minorHAnsi" w:hAnsiTheme="minorHAnsi" w:cstheme="minorBidi"/>
        </w:rPr>
        <w:t xml:space="preserve">), </w:t>
      </w:r>
      <w:r w:rsidR="741A5DFA" w:rsidRPr="302726D1">
        <w:rPr>
          <w:rFonts w:asciiTheme="minorHAnsi" w:hAnsiTheme="minorHAnsi" w:cstheme="minorBidi"/>
        </w:rPr>
        <w:t>czyli</w:t>
      </w:r>
      <w:r w:rsidR="225E94F6" w:rsidRPr="302726D1">
        <w:rPr>
          <w:rFonts w:asciiTheme="minorHAnsi" w:hAnsiTheme="minorHAnsi" w:cstheme="minorBidi"/>
        </w:rPr>
        <w:t xml:space="preserve"> nie mogą obejmować działań, które powodują znaczące szkody</w:t>
      </w:r>
      <w:r w:rsidR="64876935" w:rsidRPr="302726D1">
        <w:rPr>
          <w:rFonts w:asciiTheme="minorHAnsi" w:hAnsiTheme="minorHAnsi" w:cstheme="minorBidi"/>
        </w:rPr>
        <w:t xml:space="preserve"> </w:t>
      </w:r>
      <w:r w:rsidR="225E94F6" w:rsidRPr="302726D1">
        <w:rPr>
          <w:rFonts w:asciiTheme="minorHAnsi" w:hAnsiTheme="minorHAnsi" w:cstheme="minorBidi"/>
        </w:rPr>
        <w:t xml:space="preserve">dla </w:t>
      </w:r>
      <w:r w:rsidR="5BC30CAA" w:rsidRPr="302726D1">
        <w:rPr>
          <w:rFonts w:asciiTheme="minorHAnsi" w:hAnsiTheme="minorHAnsi" w:cstheme="minorBidi"/>
        </w:rPr>
        <w:t> </w:t>
      </w:r>
      <w:r w:rsidR="225E94F6" w:rsidRPr="302726D1">
        <w:rPr>
          <w:rFonts w:asciiTheme="minorHAnsi" w:hAnsiTheme="minorHAnsi" w:cstheme="minorBidi"/>
        </w:rPr>
        <w:t>któregokolwiek z celów środowiskowych Unii Europejskiej</w:t>
      </w:r>
      <w:r w:rsidR="0EBCAE74" w:rsidRPr="302726D1">
        <w:rPr>
          <w:rFonts w:asciiTheme="minorHAnsi" w:hAnsiTheme="minorHAnsi" w:cstheme="minorBidi"/>
        </w:rPr>
        <w:t>.</w:t>
      </w:r>
    </w:p>
    <w:tbl>
      <w:tblPr>
        <w:tblStyle w:val="Tabela-Siatka"/>
        <w:tblW w:w="0" w:type="auto"/>
        <w:tblLayout w:type="fixed"/>
        <w:tblLook w:val="06A0" w:firstRow="1" w:lastRow="0" w:firstColumn="1" w:lastColumn="0" w:noHBand="1" w:noVBand="1"/>
      </w:tblPr>
      <w:tblGrid>
        <w:gridCol w:w="2835"/>
        <w:gridCol w:w="6600"/>
      </w:tblGrid>
      <w:tr w:rsidR="0FD956A3" w:rsidRPr="00771E87" w14:paraId="186778EE" w14:textId="77777777" w:rsidTr="0FD956A3">
        <w:trPr>
          <w:trHeight w:val="300"/>
        </w:trPr>
        <w:tc>
          <w:tcPr>
            <w:tcW w:w="2835" w:type="dxa"/>
          </w:tcPr>
          <w:p w14:paraId="403AAA15" w14:textId="7403D277" w:rsidR="0FD956A3" w:rsidRPr="00771E87" w:rsidRDefault="0FD956A3" w:rsidP="0FD956A3">
            <w:pPr>
              <w:rPr>
                <w:rFonts w:cstheme="minorHAnsi"/>
                <w:sz w:val="24"/>
                <w:szCs w:val="24"/>
              </w:rPr>
            </w:pPr>
            <w:r w:rsidRPr="00771E87">
              <w:rPr>
                <w:rFonts w:eastAsia="Calibri" w:cstheme="minorHAnsi"/>
                <w:b/>
                <w:bCs/>
                <w:color w:val="000000" w:themeColor="text1"/>
                <w:sz w:val="24"/>
                <w:szCs w:val="24"/>
              </w:rPr>
              <w:t>Cel środowiskowy</w:t>
            </w:r>
            <w:r w:rsidR="003978D4" w:rsidRPr="00771E87">
              <w:rPr>
                <w:rFonts w:eastAsia="Calibri" w:cstheme="minorHAnsi"/>
                <w:b/>
                <w:bCs/>
                <w:color w:val="000000" w:themeColor="text1"/>
                <w:sz w:val="24"/>
                <w:szCs w:val="24"/>
              </w:rPr>
              <w:t xml:space="preserve"> UE</w:t>
            </w:r>
          </w:p>
        </w:tc>
        <w:tc>
          <w:tcPr>
            <w:tcW w:w="6600" w:type="dxa"/>
          </w:tcPr>
          <w:p w14:paraId="7E930259" w14:textId="34BDF3F6"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b/>
                <w:bCs/>
              </w:rPr>
              <w:t>Dana działalność wyrządza znaczące szkody</w:t>
            </w:r>
            <w:r w:rsidR="1E0BCD0D" w:rsidRPr="00771E87">
              <w:rPr>
                <w:rFonts w:asciiTheme="minorHAnsi" w:eastAsia="Calibri" w:hAnsiTheme="minorHAnsi" w:cstheme="minorHAnsi"/>
                <w:b/>
                <w:bCs/>
              </w:rPr>
              <w:t>,</w:t>
            </w:r>
            <w:r w:rsidRPr="00771E87">
              <w:rPr>
                <w:rFonts w:asciiTheme="minorHAnsi" w:eastAsia="Calibri" w:hAnsiTheme="minorHAnsi" w:cstheme="minorHAnsi"/>
                <w:b/>
                <w:bCs/>
              </w:rPr>
              <w:t xml:space="preserve"> jeżeli</w:t>
            </w:r>
            <w:r w:rsidR="58539299" w:rsidRPr="00771E87">
              <w:rPr>
                <w:rFonts w:asciiTheme="minorHAnsi" w:eastAsia="Calibri" w:hAnsiTheme="minorHAnsi" w:cstheme="minorHAnsi"/>
                <w:b/>
                <w:bCs/>
              </w:rPr>
              <w:t>:</w:t>
            </w:r>
          </w:p>
        </w:tc>
      </w:tr>
      <w:tr w:rsidR="0FD956A3" w:rsidRPr="00771E87" w14:paraId="350EA833" w14:textId="77777777" w:rsidTr="0FD956A3">
        <w:trPr>
          <w:trHeight w:val="300"/>
        </w:trPr>
        <w:tc>
          <w:tcPr>
            <w:tcW w:w="2835" w:type="dxa"/>
          </w:tcPr>
          <w:p w14:paraId="33EBA393" w14:textId="03BD98AA"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rPr>
              <w:t>Łagodzenie zmian klimatu</w:t>
            </w:r>
          </w:p>
        </w:tc>
        <w:tc>
          <w:tcPr>
            <w:tcW w:w="6600" w:type="dxa"/>
          </w:tcPr>
          <w:p w14:paraId="16D4D343" w14:textId="443FC47B" w:rsidR="022C8630" w:rsidRPr="00771E87" w:rsidRDefault="022C8630">
            <w:pPr>
              <w:rPr>
                <w:rFonts w:cstheme="minorHAnsi"/>
                <w:sz w:val="24"/>
                <w:szCs w:val="24"/>
              </w:rPr>
            </w:pPr>
            <w:r w:rsidRPr="00771E87">
              <w:rPr>
                <w:rFonts w:eastAsia="Calibri" w:cstheme="minorHAnsi"/>
                <w:color w:val="000000" w:themeColor="text1"/>
                <w:sz w:val="24"/>
                <w:szCs w:val="24"/>
              </w:rPr>
              <w:t>prowadzi do znaczących emisji gazów cieplarnianych</w:t>
            </w:r>
          </w:p>
        </w:tc>
      </w:tr>
      <w:tr w:rsidR="0FD956A3" w:rsidRPr="00771E87" w14:paraId="4E384EC7" w14:textId="77777777" w:rsidTr="0FD956A3">
        <w:trPr>
          <w:trHeight w:val="300"/>
        </w:trPr>
        <w:tc>
          <w:tcPr>
            <w:tcW w:w="2835" w:type="dxa"/>
          </w:tcPr>
          <w:p w14:paraId="29597A20" w14:textId="59331959"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rPr>
              <w:t>Adaptacja do zmian klimatu</w:t>
            </w:r>
          </w:p>
        </w:tc>
        <w:tc>
          <w:tcPr>
            <w:tcW w:w="6600" w:type="dxa"/>
          </w:tcPr>
          <w:p w14:paraId="4F21DEAD" w14:textId="7005B374" w:rsidR="17AD4E77" w:rsidRPr="00771E87" w:rsidRDefault="17AD4E77">
            <w:pPr>
              <w:rPr>
                <w:rFonts w:cstheme="minorHAnsi"/>
                <w:sz w:val="24"/>
                <w:szCs w:val="24"/>
              </w:rPr>
            </w:pPr>
            <w:r w:rsidRPr="00771E87">
              <w:rPr>
                <w:rFonts w:eastAsia="Calibri" w:cstheme="minorHAnsi"/>
                <w:color w:val="000000" w:themeColor="text1"/>
                <w:sz w:val="24"/>
                <w:szCs w:val="24"/>
              </w:rPr>
              <w:t>prowadzi do nasilenia niekorzystnych skutków obecnych i</w:t>
            </w:r>
            <w:r w:rsidR="00F00B76">
              <w:rPr>
                <w:rFonts w:eastAsia="Calibri" w:cstheme="minorHAnsi"/>
                <w:color w:val="000000" w:themeColor="text1"/>
                <w:sz w:val="24"/>
                <w:szCs w:val="24"/>
              </w:rPr>
              <w:t> </w:t>
            </w:r>
            <w:r w:rsidRPr="00771E87">
              <w:rPr>
                <w:rFonts w:eastAsia="Calibri" w:cstheme="minorHAnsi"/>
                <w:color w:val="000000" w:themeColor="text1"/>
                <w:sz w:val="24"/>
                <w:szCs w:val="24"/>
              </w:rPr>
              <w:t>oczekiwanych, przyszłych warunków klimatycznych, wywieranych na tę działalność lub na ludzi, przyrodę lub aktywa</w:t>
            </w:r>
          </w:p>
        </w:tc>
      </w:tr>
      <w:tr w:rsidR="0FD956A3" w:rsidRPr="00771E87" w14:paraId="16B7F0DB" w14:textId="77777777" w:rsidTr="0FD956A3">
        <w:trPr>
          <w:trHeight w:val="300"/>
        </w:trPr>
        <w:tc>
          <w:tcPr>
            <w:tcW w:w="2835" w:type="dxa"/>
          </w:tcPr>
          <w:p w14:paraId="0021E430" w14:textId="4C916014"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rPr>
              <w:t>Odpowiednie użytkowanie i ochrona zasobów wodnych i morskich</w:t>
            </w:r>
          </w:p>
        </w:tc>
        <w:tc>
          <w:tcPr>
            <w:tcW w:w="6600" w:type="dxa"/>
          </w:tcPr>
          <w:p w14:paraId="2BF5C2E6" w14:textId="54D8A5E4" w:rsidR="32790DA5" w:rsidRPr="00771E87" w:rsidRDefault="32790DA5">
            <w:pPr>
              <w:rPr>
                <w:rFonts w:cstheme="minorHAnsi"/>
                <w:sz w:val="24"/>
                <w:szCs w:val="24"/>
              </w:rPr>
            </w:pPr>
            <w:r w:rsidRPr="00771E87">
              <w:rPr>
                <w:rFonts w:eastAsia="Calibri" w:cstheme="minorHAnsi"/>
                <w:color w:val="000000" w:themeColor="text1"/>
                <w:sz w:val="24"/>
                <w:szCs w:val="24"/>
              </w:rPr>
              <w:t>szkodzi dobremu stanowi lub dobremu potencjałowi ekologicznemu jednolitych części wód, w tym wód powierzchniowych i wód podziemnych; lub dobremu stanowi środowiska wód morskich</w:t>
            </w:r>
          </w:p>
        </w:tc>
      </w:tr>
      <w:tr w:rsidR="0FD956A3" w:rsidRPr="00771E87" w14:paraId="01A5B8B3" w14:textId="77777777" w:rsidTr="0FD956A3">
        <w:trPr>
          <w:trHeight w:val="300"/>
        </w:trPr>
        <w:tc>
          <w:tcPr>
            <w:tcW w:w="2835" w:type="dxa"/>
          </w:tcPr>
          <w:p w14:paraId="44AAA273" w14:textId="010E7C18"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rPr>
              <w:t>Gospodarka o obiegu zamkniętym, w tym zapobieganie powstawaniu odpadów i recykling</w:t>
            </w:r>
          </w:p>
        </w:tc>
        <w:tc>
          <w:tcPr>
            <w:tcW w:w="6600" w:type="dxa"/>
          </w:tcPr>
          <w:p w14:paraId="6AFA82F1" w14:textId="7098A36A" w:rsidR="6455F162" w:rsidRPr="00771E87" w:rsidRDefault="6455F162">
            <w:pPr>
              <w:rPr>
                <w:rFonts w:cstheme="minorHAnsi"/>
                <w:sz w:val="24"/>
                <w:szCs w:val="24"/>
              </w:rPr>
            </w:pPr>
            <w:r w:rsidRPr="00771E87">
              <w:rPr>
                <w:rFonts w:eastAsia="Calibri" w:cstheme="minorHAnsi"/>
                <w:color w:val="000000" w:themeColor="text1"/>
                <w:sz w:val="24"/>
                <w:szCs w:val="24"/>
              </w:rPr>
              <w:t>prowadzi do znaczącego braku efektywności w wykorzystywaniu materiałów lub w bezpośrednim lub pośrednim wykorzystywaniu zasobów naturalnych, lub do znacznego zwiększenia wytwarzania, spalania lub unieszkodliwiania odpadów, lub jeżeli długotrwałe składowanie odpadów może wyrządzać znaczące i</w:t>
            </w:r>
            <w:r w:rsidR="00F00B76">
              <w:rPr>
                <w:rFonts w:eastAsia="Calibri" w:cstheme="minorHAnsi"/>
                <w:color w:val="000000" w:themeColor="text1"/>
                <w:sz w:val="24"/>
                <w:szCs w:val="24"/>
              </w:rPr>
              <w:t> </w:t>
            </w:r>
            <w:r w:rsidRPr="00771E87">
              <w:rPr>
                <w:rFonts w:eastAsia="Calibri" w:cstheme="minorHAnsi"/>
                <w:color w:val="000000" w:themeColor="text1"/>
                <w:sz w:val="24"/>
                <w:szCs w:val="24"/>
              </w:rPr>
              <w:t>długoterminowe szkody dla środowiska</w:t>
            </w:r>
          </w:p>
        </w:tc>
      </w:tr>
      <w:tr w:rsidR="0FD956A3" w:rsidRPr="00771E87" w14:paraId="4A202DBA" w14:textId="77777777" w:rsidTr="0FD956A3">
        <w:trPr>
          <w:trHeight w:val="300"/>
        </w:trPr>
        <w:tc>
          <w:tcPr>
            <w:tcW w:w="2835" w:type="dxa"/>
          </w:tcPr>
          <w:p w14:paraId="356084A4" w14:textId="5DF1EC91" w:rsidR="7D54F06D" w:rsidRPr="00771E87" w:rsidRDefault="7D54F06D">
            <w:pPr>
              <w:rPr>
                <w:rFonts w:cstheme="minorHAnsi"/>
                <w:sz w:val="24"/>
                <w:szCs w:val="24"/>
              </w:rPr>
            </w:pPr>
            <w:r w:rsidRPr="00771E87">
              <w:rPr>
                <w:rFonts w:eastAsia="Calibri" w:cstheme="minorHAnsi"/>
                <w:color w:val="000000" w:themeColor="text1"/>
                <w:sz w:val="24"/>
                <w:szCs w:val="24"/>
              </w:rPr>
              <w:t>Zapobieganie i kontrola zanieczyszczeń powietrza, wody lub ziemi</w:t>
            </w:r>
          </w:p>
          <w:p w14:paraId="2EA25BA8" w14:textId="222AF26F" w:rsidR="0FD956A3" w:rsidRPr="00771E87" w:rsidRDefault="0FD956A3" w:rsidP="0FD956A3">
            <w:pPr>
              <w:pStyle w:val="Default"/>
              <w:rPr>
                <w:rFonts w:asciiTheme="minorHAnsi" w:hAnsiTheme="minorHAnsi" w:cstheme="minorHAnsi"/>
              </w:rPr>
            </w:pPr>
          </w:p>
        </w:tc>
        <w:tc>
          <w:tcPr>
            <w:tcW w:w="6600" w:type="dxa"/>
          </w:tcPr>
          <w:p w14:paraId="61F88DBE" w14:textId="6B429A7E" w:rsidR="5C3BCA04" w:rsidRPr="00771E87" w:rsidRDefault="5C3BCA04" w:rsidP="0FD956A3">
            <w:pPr>
              <w:pStyle w:val="Default"/>
              <w:rPr>
                <w:rFonts w:asciiTheme="minorHAnsi" w:hAnsiTheme="minorHAnsi" w:cstheme="minorHAnsi"/>
              </w:rPr>
            </w:pPr>
            <w:r w:rsidRPr="00771E87">
              <w:rPr>
                <w:rFonts w:asciiTheme="minorHAnsi" w:eastAsia="Calibri" w:hAnsiTheme="minorHAnsi" w:cstheme="minorHAnsi"/>
              </w:rPr>
              <w:t>prowadzi do znaczącego wzrostu emisji zanieczyszczeń do powietrza, wody lub ziemi</w:t>
            </w:r>
          </w:p>
        </w:tc>
      </w:tr>
      <w:tr w:rsidR="0FD956A3" w:rsidRPr="00771E87" w14:paraId="790FB295" w14:textId="77777777" w:rsidTr="0FD956A3">
        <w:trPr>
          <w:trHeight w:val="300"/>
        </w:trPr>
        <w:tc>
          <w:tcPr>
            <w:tcW w:w="2835" w:type="dxa"/>
          </w:tcPr>
          <w:p w14:paraId="000AB742" w14:textId="79C4BB8D" w:rsidR="7D54F06D" w:rsidRPr="00771E87" w:rsidRDefault="7D54F06D" w:rsidP="0FD956A3">
            <w:pPr>
              <w:pStyle w:val="Default"/>
              <w:rPr>
                <w:rFonts w:asciiTheme="minorHAnsi" w:hAnsiTheme="minorHAnsi" w:cstheme="minorHAnsi"/>
              </w:rPr>
            </w:pPr>
            <w:r w:rsidRPr="00771E87">
              <w:rPr>
                <w:rFonts w:asciiTheme="minorHAnsi" w:eastAsia="Calibri" w:hAnsiTheme="minorHAnsi" w:cstheme="minorHAnsi"/>
              </w:rPr>
              <w:t>Ochrona i odtwarzanie bioróżnorodności i ekosystemów</w:t>
            </w:r>
          </w:p>
        </w:tc>
        <w:tc>
          <w:tcPr>
            <w:tcW w:w="6600" w:type="dxa"/>
          </w:tcPr>
          <w:p w14:paraId="528509F1" w14:textId="0A953932" w:rsidR="4BCEF9CF" w:rsidRPr="00771E87" w:rsidRDefault="4BCEF9CF" w:rsidP="0FD956A3">
            <w:pPr>
              <w:pStyle w:val="Default"/>
              <w:rPr>
                <w:rFonts w:asciiTheme="minorHAnsi" w:hAnsiTheme="minorHAnsi" w:cstheme="minorHAnsi"/>
              </w:rPr>
            </w:pPr>
            <w:r w:rsidRPr="00771E87">
              <w:rPr>
                <w:rFonts w:asciiTheme="minorHAnsi" w:eastAsia="Calibri" w:hAnsiTheme="minorHAnsi" w:cstheme="minorHAnsi"/>
              </w:rPr>
              <w:t>w znacznym stopniu szkodzi dobremu stanowi i odporności ekosystemów lub jest szkodliwa dla stanu zachowania siedlisk i</w:t>
            </w:r>
            <w:r w:rsidR="00F00B76">
              <w:rPr>
                <w:rFonts w:asciiTheme="minorHAnsi" w:eastAsia="Calibri" w:hAnsiTheme="minorHAnsi" w:cstheme="minorHAnsi"/>
              </w:rPr>
              <w:t> </w:t>
            </w:r>
            <w:r w:rsidRPr="00771E87">
              <w:rPr>
                <w:rFonts w:asciiTheme="minorHAnsi" w:eastAsia="Calibri" w:hAnsiTheme="minorHAnsi" w:cstheme="minorHAnsi"/>
              </w:rPr>
              <w:t>gatunków, w tym siedlisk i gatunków objętych zakresem zainteresowania Unii</w:t>
            </w:r>
          </w:p>
        </w:tc>
      </w:tr>
    </w:tbl>
    <w:p w14:paraId="7D9A6AD8" w14:textId="39C17CBB" w:rsidR="0BFCB64C" w:rsidRPr="00771E87" w:rsidRDefault="0EB43139" w:rsidP="008C1401">
      <w:pPr>
        <w:pStyle w:val="Default"/>
        <w:spacing w:after="120"/>
        <w:jc w:val="both"/>
        <w:rPr>
          <w:rFonts w:asciiTheme="minorHAnsi" w:eastAsia="Arial" w:hAnsiTheme="minorHAnsi" w:cstheme="minorHAnsi"/>
          <w:b/>
          <w:bCs/>
          <w:i/>
          <w:iCs/>
          <w:color w:val="00A1DF"/>
          <w:sz w:val="28"/>
          <w:szCs w:val="28"/>
          <w:lang w:val="pl"/>
        </w:rPr>
      </w:pPr>
      <w:r w:rsidRPr="00771E87">
        <w:rPr>
          <w:rFonts w:asciiTheme="minorHAnsi" w:hAnsiTheme="minorHAnsi" w:cstheme="minorHAnsi"/>
          <w:i/>
          <w:iCs/>
        </w:rPr>
        <w:lastRenderedPageBreak/>
        <w:t>Na podstawie dokumentu:</w:t>
      </w:r>
      <w:r w:rsidR="00E037D0" w:rsidRPr="00771E87">
        <w:rPr>
          <w:rFonts w:asciiTheme="minorHAnsi" w:hAnsiTheme="minorHAnsi" w:cstheme="minorHAnsi"/>
          <w:i/>
          <w:iCs/>
        </w:rPr>
        <w:t xml:space="preserve"> </w:t>
      </w:r>
      <w:r w:rsidR="1E52DE70" w:rsidRPr="00771E87">
        <w:rPr>
          <w:rFonts w:asciiTheme="minorHAnsi" w:hAnsiTheme="minorHAnsi" w:cstheme="minorHAnsi"/>
          <w:i/>
          <w:iCs/>
        </w:rPr>
        <w:t>“</w:t>
      </w:r>
      <w:r w:rsidR="03E306E5" w:rsidRPr="00771E87">
        <w:rPr>
          <w:rFonts w:asciiTheme="minorHAnsi" w:hAnsiTheme="minorHAnsi" w:cstheme="minorHAnsi"/>
          <w:i/>
          <w:iCs/>
        </w:rPr>
        <w:t>Zgodność przedsięwzięć finansowanych ze środków Unii Europejskiej, w</w:t>
      </w:r>
      <w:r w:rsidR="008C1401" w:rsidRPr="00771E87">
        <w:rPr>
          <w:rFonts w:asciiTheme="minorHAnsi" w:hAnsiTheme="minorHAnsi" w:cstheme="minorHAnsi"/>
          <w:i/>
          <w:iCs/>
        </w:rPr>
        <w:t> </w:t>
      </w:r>
      <w:r w:rsidR="03E306E5" w:rsidRPr="00771E87">
        <w:rPr>
          <w:rFonts w:asciiTheme="minorHAnsi" w:hAnsiTheme="minorHAnsi" w:cstheme="minorHAnsi"/>
          <w:i/>
          <w:iCs/>
        </w:rPr>
        <w:t>tym realizowanych w ramach Krajowego Planu Odbudowy i Zwiększania Odporności, z zasadą „nie czyń znaczącej szkody” - zasadą DNSH. Podręcznik dla beneficjent</w:t>
      </w:r>
      <w:r w:rsidR="05E7D473" w:rsidRPr="00771E87">
        <w:rPr>
          <w:rFonts w:asciiTheme="minorHAnsi" w:hAnsiTheme="minorHAnsi" w:cstheme="minorHAnsi"/>
          <w:i/>
          <w:iCs/>
        </w:rPr>
        <w:t>a</w:t>
      </w:r>
      <w:r w:rsidR="6D5D55C5" w:rsidRPr="00771E87">
        <w:rPr>
          <w:rFonts w:asciiTheme="minorHAnsi" w:hAnsiTheme="minorHAnsi" w:cstheme="minorHAnsi"/>
          <w:i/>
          <w:iCs/>
        </w:rPr>
        <w:t>”.</w:t>
      </w:r>
    </w:p>
    <w:p w14:paraId="1E74FB3E" w14:textId="4EDAD405" w:rsidR="002773B7" w:rsidRPr="00771E87" w:rsidRDefault="4DC0F881" w:rsidP="00A579EE">
      <w:pPr>
        <w:pStyle w:val="Default"/>
        <w:spacing w:after="480"/>
        <w:jc w:val="both"/>
        <w:rPr>
          <w:rFonts w:asciiTheme="minorHAnsi" w:hAnsiTheme="minorHAnsi" w:cstheme="minorHAnsi"/>
        </w:rPr>
      </w:pPr>
      <w:r w:rsidRPr="00771E87">
        <w:rPr>
          <w:rFonts w:asciiTheme="minorHAnsi" w:hAnsiTheme="minorHAnsi" w:cstheme="minorHAnsi"/>
        </w:rPr>
        <w:t xml:space="preserve">Żadne przedsięwzięcie MŚP nie kwalifikuje się do wsparcia </w:t>
      </w:r>
      <w:r w:rsidR="7626A88A" w:rsidRPr="00771E87">
        <w:rPr>
          <w:rFonts w:asciiTheme="minorHAnsi" w:hAnsiTheme="minorHAnsi" w:cstheme="minorHAnsi"/>
        </w:rPr>
        <w:t>z</w:t>
      </w:r>
      <w:r w:rsidRPr="00771E87">
        <w:rPr>
          <w:rFonts w:asciiTheme="minorHAnsi" w:hAnsiTheme="minorHAnsi" w:cstheme="minorHAnsi"/>
        </w:rPr>
        <w:t xml:space="preserve"> Inwestycji A1.2.1</w:t>
      </w:r>
      <w:r w:rsidR="457FBFB6" w:rsidRPr="00771E87">
        <w:rPr>
          <w:rFonts w:asciiTheme="minorHAnsi" w:hAnsiTheme="minorHAnsi" w:cstheme="minorHAnsi"/>
        </w:rPr>
        <w:t xml:space="preserve"> KPO</w:t>
      </w:r>
      <w:r w:rsidRPr="00771E87">
        <w:rPr>
          <w:rFonts w:asciiTheme="minorHAnsi" w:hAnsiTheme="minorHAnsi" w:cstheme="minorHAnsi"/>
        </w:rPr>
        <w:t>,</w:t>
      </w:r>
      <w:r w:rsidR="4BE6561A" w:rsidRPr="00771E87">
        <w:rPr>
          <w:rFonts w:asciiTheme="minorHAnsi" w:hAnsiTheme="minorHAnsi" w:cstheme="minorHAnsi"/>
        </w:rPr>
        <w:t xml:space="preserve"> jeżeli jakikolwiek wydat</w:t>
      </w:r>
      <w:r w:rsidR="00123075" w:rsidRPr="00771E87">
        <w:rPr>
          <w:rFonts w:asciiTheme="minorHAnsi" w:hAnsiTheme="minorHAnsi" w:cstheme="minorHAnsi"/>
        </w:rPr>
        <w:t>ek</w:t>
      </w:r>
      <w:r w:rsidR="2F6F6444" w:rsidRPr="00771E87">
        <w:rPr>
          <w:rFonts w:asciiTheme="minorHAnsi" w:hAnsiTheme="minorHAnsi" w:cstheme="minorHAnsi"/>
        </w:rPr>
        <w:t xml:space="preserve"> </w:t>
      </w:r>
      <w:r w:rsidR="4787DCEC" w:rsidRPr="00771E87">
        <w:rPr>
          <w:rFonts w:asciiTheme="minorHAnsi" w:hAnsiTheme="minorHAnsi" w:cstheme="minorHAnsi"/>
        </w:rPr>
        <w:t>w ramach tego przedsięwzięcia narusza</w:t>
      </w:r>
      <w:r w:rsidR="5E7978C6" w:rsidRPr="00771E87">
        <w:rPr>
          <w:rFonts w:asciiTheme="minorHAnsi" w:hAnsiTheme="minorHAnsi" w:cstheme="minorHAnsi"/>
        </w:rPr>
        <w:t xml:space="preserve"> jakikolwiek cel środowiskowy UE</w:t>
      </w:r>
      <w:r w:rsidR="50F30594" w:rsidRPr="00771E87">
        <w:rPr>
          <w:rFonts w:asciiTheme="minorHAnsi" w:hAnsiTheme="minorHAnsi" w:cstheme="minorHAnsi"/>
        </w:rPr>
        <w:t>.</w:t>
      </w:r>
    </w:p>
    <w:p w14:paraId="018C50F3" w14:textId="58EAE505" w:rsidR="00F20F5B" w:rsidRPr="00771E87" w:rsidRDefault="3F9B56B1" w:rsidP="00E57A4B">
      <w:pPr>
        <w:pStyle w:val="NCBR2Nagowek"/>
        <w:spacing w:after="360"/>
        <w:rPr>
          <w:rFonts w:asciiTheme="minorHAnsi" w:hAnsiTheme="minorHAnsi" w:cstheme="minorHAnsi"/>
          <w:sz w:val="24"/>
          <w:szCs w:val="24"/>
        </w:rPr>
      </w:pPr>
      <w:bookmarkStart w:id="24" w:name="_Toc162526819"/>
      <w:r w:rsidRPr="00771E87">
        <w:rPr>
          <w:rFonts w:asciiTheme="minorHAnsi" w:hAnsiTheme="minorHAnsi" w:cstheme="minorHAnsi"/>
          <w:sz w:val="24"/>
          <w:szCs w:val="24"/>
        </w:rPr>
        <w:t>2.</w:t>
      </w:r>
      <w:r w:rsidR="008A2D82" w:rsidRPr="00771E87">
        <w:rPr>
          <w:rFonts w:asciiTheme="minorHAnsi" w:hAnsiTheme="minorHAnsi" w:cstheme="minorHAnsi"/>
          <w:sz w:val="24"/>
          <w:szCs w:val="24"/>
        </w:rPr>
        <w:t>10</w:t>
      </w:r>
      <w:r w:rsidRPr="00771E87">
        <w:rPr>
          <w:rFonts w:asciiTheme="minorHAnsi" w:hAnsiTheme="minorHAnsi" w:cstheme="minorHAnsi"/>
          <w:sz w:val="24"/>
          <w:szCs w:val="24"/>
        </w:rPr>
        <w:t xml:space="preserve"> </w:t>
      </w:r>
      <w:r w:rsidR="3986B3CB" w:rsidRPr="00771E87">
        <w:rPr>
          <w:rFonts w:asciiTheme="minorHAnsi" w:hAnsiTheme="minorHAnsi" w:cstheme="minorHAnsi"/>
          <w:sz w:val="24"/>
          <w:szCs w:val="24"/>
        </w:rPr>
        <w:t>Konflikt interesów.</w:t>
      </w:r>
      <w:bookmarkEnd w:id="24"/>
    </w:p>
    <w:p w14:paraId="08DF21AA" w14:textId="6BBD267B" w:rsidR="007C09D8" w:rsidRPr="00771E87" w:rsidRDefault="57288F7C" w:rsidP="450F1B5E">
      <w:pPr>
        <w:autoSpaceDE w:val="0"/>
        <w:autoSpaceDN w:val="0"/>
        <w:adjustRightInd w:val="0"/>
        <w:spacing w:after="0" w:line="360" w:lineRule="auto"/>
        <w:rPr>
          <w:rFonts w:cstheme="minorHAnsi"/>
          <w:sz w:val="24"/>
          <w:szCs w:val="24"/>
        </w:rPr>
      </w:pPr>
      <w:r w:rsidRPr="00771E87">
        <w:rPr>
          <w:rFonts w:cstheme="minorHAnsi"/>
          <w:sz w:val="24"/>
          <w:szCs w:val="24"/>
        </w:rPr>
        <w:t>MŚP pode</w:t>
      </w:r>
      <w:r w:rsidR="581C2590" w:rsidRPr="00771E87">
        <w:rPr>
          <w:rFonts w:cstheme="minorHAnsi"/>
          <w:sz w:val="24"/>
          <w:szCs w:val="24"/>
        </w:rPr>
        <w:t>j</w:t>
      </w:r>
      <w:r w:rsidRPr="00771E87">
        <w:rPr>
          <w:rFonts w:cstheme="minorHAnsi"/>
          <w:sz w:val="24"/>
          <w:szCs w:val="24"/>
        </w:rPr>
        <w:t>muje</w:t>
      </w:r>
      <w:r w:rsidR="68D1D2D2" w:rsidRPr="00771E87">
        <w:rPr>
          <w:rFonts w:cstheme="minorHAnsi"/>
          <w:sz w:val="24"/>
          <w:szCs w:val="24"/>
        </w:rPr>
        <w:t xml:space="preserve"> odpowiednie środki, aby skutecznie zapobiegać konfliktom interesów, a także rozpoznawać i likwidować je, gdy powstają w związku z prowadzeniem postępowania o udzielenie zamówienia lub na etapie wykonywania zamówienia – by nie dopuścić do zakłócenia konkurencji oraz zapewnić równe traktowanie wykonawców. Konflikt interesów oznacza każdą sytuację,</w:t>
      </w:r>
      <w:r w:rsidR="08644478" w:rsidRPr="00771E87">
        <w:rPr>
          <w:rFonts w:cstheme="minorHAnsi"/>
          <w:sz w:val="24"/>
          <w:szCs w:val="24"/>
        </w:rPr>
        <w:t xml:space="preserve"> </w:t>
      </w:r>
      <w:r w:rsidR="68D1D2D2" w:rsidRPr="00771E87">
        <w:rPr>
          <w:rFonts w:cstheme="minorHAnsi"/>
          <w:sz w:val="24"/>
          <w:szCs w:val="24"/>
        </w:rPr>
        <w:t xml:space="preserve">w </w:t>
      </w:r>
      <w:r w:rsidR="00A579EE" w:rsidRPr="00771E87">
        <w:rPr>
          <w:rFonts w:cstheme="minorHAnsi"/>
          <w:sz w:val="24"/>
          <w:szCs w:val="24"/>
        </w:rPr>
        <w:t> </w:t>
      </w:r>
      <w:r w:rsidR="68D1D2D2" w:rsidRPr="00771E87">
        <w:rPr>
          <w:rFonts w:cstheme="minorHAnsi"/>
          <w:sz w:val="24"/>
          <w:szCs w:val="24"/>
        </w:rPr>
        <w:t>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6C6A9CDD" w14:textId="729D997B" w:rsidR="002F7FFE" w:rsidRPr="00771E87" w:rsidRDefault="53C8A6F4" w:rsidP="00C3305A">
      <w:pPr>
        <w:keepLines/>
        <w:spacing w:after="120" w:line="360" w:lineRule="auto"/>
        <w:rPr>
          <w:rFonts w:cstheme="minorHAnsi"/>
          <w:b/>
        </w:rPr>
        <w:sectPr w:rsidR="002F7FFE" w:rsidRPr="00771E87" w:rsidSect="008C1401">
          <w:headerReference w:type="default" r:id="rId13"/>
          <w:footerReference w:type="default" r:id="rId14"/>
          <w:type w:val="continuous"/>
          <w:pgSz w:w="11906" w:h="16838"/>
          <w:pgMar w:top="1701" w:right="1134" w:bottom="1134" w:left="1134" w:header="567" w:footer="284" w:gutter="0"/>
          <w:cols w:space="708"/>
          <w:docGrid w:linePitch="360"/>
        </w:sectPr>
      </w:pPr>
      <w:r w:rsidRPr="00771E87">
        <w:rPr>
          <w:rFonts w:cstheme="minorHAnsi"/>
          <w:sz w:val="24"/>
          <w:szCs w:val="24"/>
        </w:rPr>
        <w:t>W celu uniknięcia konfliktu interesów</w:t>
      </w:r>
      <w:r w:rsidR="5650D753" w:rsidRPr="00771E87">
        <w:rPr>
          <w:rFonts w:cstheme="minorHAnsi"/>
          <w:sz w:val="24"/>
          <w:szCs w:val="24"/>
        </w:rPr>
        <w:t xml:space="preserve"> zamówienia realizowane przez MŚP otrzymujące wsparcie nie mogą być udzielane podmiotom powiązanym</w:t>
      </w:r>
      <w:r w:rsidR="2A7EE6C6" w:rsidRPr="00771E87">
        <w:rPr>
          <w:rFonts w:cstheme="minorHAnsi"/>
          <w:sz w:val="24"/>
          <w:szCs w:val="24"/>
        </w:rPr>
        <w:t xml:space="preserve"> </w:t>
      </w:r>
      <w:r w:rsidR="1A1A4C1A" w:rsidRPr="00771E87">
        <w:rPr>
          <w:rFonts w:cstheme="minorHAnsi"/>
          <w:sz w:val="24"/>
          <w:szCs w:val="24"/>
        </w:rPr>
        <w:t>z</w:t>
      </w:r>
      <w:r w:rsidR="115AB8FD" w:rsidRPr="00771E87">
        <w:rPr>
          <w:rFonts w:cstheme="minorHAnsi"/>
          <w:sz w:val="24"/>
          <w:szCs w:val="24"/>
        </w:rPr>
        <w:t xml:space="preserve"> </w:t>
      </w:r>
      <w:r w:rsidR="5650D753" w:rsidRPr="00771E87">
        <w:rPr>
          <w:rFonts w:cstheme="minorHAnsi"/>
          <w:sz w:val="24"/>
          <w:szCs w:val="24"/>
        </w:rPr>
        <w:t>tym MŚP osobowo lub kapitałowo</w:t>
      </w:r>
      <w:r w:rsidR="5C28908D" w:rsidRPr="00771E87">
        <w:rPr>
          <w:rFonts w:cstheme="minorHAnsi"/>
          <w:sz w:val="24"/>
          <w:szCs w:val="24"/>
        </w:rPr>
        <w:t xml:space="preserve"> w sposób określony w pkt. 2.8.</w:t>
      </w:r>
      <w:bookmarkStart w:id="25" w:name="_Toc124327538"/>
      <w:bookmarkStart w:id="26" w:name="_Toc124328095"/>
      <w:bookmarkStart w:id="27" w:name="_Toc124329368"/>
      <w:bookmarkStart w:id="28" w:name="_Toc124327539"/>
      <w:bookmarkStart w:id="29" w:name="_Toc124328096"/>
      <w:bookmarkStart w:id="30" w:name="_Toc124329369"/>
      <w:bookmarkStart w:id="31" w:name="_Toc124327540"/>
      <w:bookmarkStart w:id="32" w:name="_Toc124328097"/>
      <w:bookmarkStart w:id="33" w:name="_Toc124329370"/>
      <w:bookmarkStart w:id="34" w:name="_Toc124327541"/>
      <w:bookmarkStart w:id="35" w:name="_Toc124328098"/>
      <w:bookmarkStart w:id="36" w:name="_Toc124329371"/>
      <w:bookmarkStart w:id="37" w:name="_Toc124327542"/>
      <w:bookmarkStart w:id="38" w:name="_Toc124328099"/>
      <w:bookmarkStart w:id="39" w:name="_Toc124329372"/>
      <w:bookmarkStart w:id="40" w:name="_Toc136343471"/>
      <w:bookmarkStart w:id="41" w:name="_Toc15371260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CCA3C05" w14:textId="1E7AFCB4" w:rsidR="001916EC" w:rsidRPr="00771E87" w:rsidRDefault="004B3A93" w:rsidP="00E57A4B">
      <w:pPr>
        <w:pStyle w:val="NCBR2Nagowek"/>
        <w:spacing w:after="360"/>
        <w:rPr>
          <w:rFonts w:asciiTheme="minorHAnsi" w:hAnsiTheme="minorHAnsi" w:cstheme="minorHAnsi"/>
        </w:rPr>
      </w:pPr>
      <w:bookmarkStart w:id="42" w:name="_Toc162526820"/>
      <w:r w:rsidRPr="00771E87">
        <w:rPr>
          <w:rFonts w:asciiTheme="minorHAnsi" w:hAnsiTheme="minorHAnsi" w:cstheme="minorHAnsi"/>
        </w:rPr>
        <w:lastRenderedPageBreak/>
        <w:t xml:space="preserve">3. </w:t>
      </w:r>
      <w:r w:rsidR="00E72802" w:rsidRPr="00771E87">
        <w:rPr>
          <w:rFonts w:asciiTheme="minorHAnsi" w:hAnsiTheme="minorHAnsi" w:cstheme="minorHAnsi"/>
        </w:rPr>
        <w:t xml:space="preserve">Wydatki </w:t>
      </w:r>
      <w:bookmarkEnd w:id="40"/>
      <w:r w:rsidR="00AF3F73" w:rsidRPr="00771E87">
        <w:rPr>
          <w:rFonts w:asciiTheme="minorHAnsi" w:hAnsiTheme="minorHAnsi" w:cstheme="minorHAnsi"/>
        </w:rPr>
        <w:t>kwalifikowalne</w:t>
      </w:r>
      <w:r w:rsidR="009277D5" w:rsidRPr="00771E87">
        <w:rPr>
          <w:rFonts w:asciiTheme="minorHAnsi" w:hAnsiTheme="minorHAnsi" w:cstheme="minorHAnsi"/>
        </w:rPr>
        <w:t xml:space="preserve"> wg komponentów</w:t>
      </w:r>
      <w:bookmarkEnd w:id="41"/>
      <w:bookmarkEnd w:id="42"/>
    </w:p>
    <w:p w14:paraId="72726FE8" w14:textId="200C4BA3" w:rsidR="009277D5" w:rsidRPr="00771E87" w:rsidRDefault="009277D5" w:rsidP="004B3A93">
      <w:pPr>
        <w:spacing w:line="360" w:lineRule="auto"/>
        <w:rPr>
          <w:rFonts w:eastAsia="Times New Roman" w:cstheme="minorHAnsi"/>
          <w:sz w:val="24"/>
          <w:szCs w:val="24"/>
          <w:lang w:eastAsia="pl-PL"/>
          <w14:ligatures w14:val="none"/>
        </w:rPr>
      </w:pPr>
      <w:r w:rsidRPr="00771E87">
        <w:rPr>
          <w:rFonts w:cstheme="minorHAnsi"/>
          <w:sz w:val="24"/>
          <w:szCs w:val="24"/>
        </w:rPr>
        <w:t>Przedsięwzięcie MŚP otrzymujące wsparcie musi obowiązkowo obejmować komponent inwestycyjny. W ramach tego komponentu kwalifikowalne wydatki obejmują inwestycje MŚP</w:t>
      </w:r>
      <w:r w:rsidR="005C1C27" w:rsidRPr="00771E87">
        <w:rPr>
          <w:rFonts w:cstheme="minorHAnsi"/>
          <w:sz w:val="24"/>
          <w:szCs w:val="24"/>
        </w:rPr>
        <w:t xml:space="preserve"> </w:t>
      </w:r>
      <w:r w:rsidRPr="00771E87">
        <w:rPr>
          <w:rFonts w:cstheme="minorHAnsi"/>
          <w:sz w:val="24"/>
          <w:szCs w:val="24"/>
        </w:rPr>
        <w:t>w</w:t>
      </w:r>
      <w:r w:rsidR="00CC4385" w:rsidRPr="00771E87">
        <w:rPr>
          <w:rFonts w:cstheme="minorHAnsi"/>
          <w:iCs/>
          <w:sz w:val="24"/>
          <w:szCs w:val="24"/>
        </w:rPr>
        <w:t xml:space="preserve"> </w:t>
      </w:r>
      <w:r w:rsidR="00A579EE" w:rsidRPr="00771E87">
        <w:rPr>
          <w:rFonts w:cstheme="minorHAnsi"/>
          <w:iCs/>
          <w:sz w:val="24"/>
          <w:szCs w:val="24"/>
        </w:rPr>
        <w:t> </w:t>
      </w:r>
      <w:r w:rsidRPr="00771E87">
        <w:rPr>
          <w:rFonts w:eastAsia="Times New Roman" w:cstheme="minorHAnsi"/>
          <w:sz w:val="24"/>
          <w:szCs w:val="24"/>
          <w:lang w:eastAsia="pl-PL"/>
          <w14:ligatures w14:val="none"/>
        </w:rPr>
        <w:t xml:space="preserve">projektowanie </w:t>
      </w:r>
      <w:r w:rsidR="0005533D" w:rsidRPr="00771E87">
        <w:rPr>
          <w:rFonts w:eastAsia="Times New Roman" w:cstheme="minorHAnsi"/>
          <w:sz w:val="24"/>
          <w:szCs w:val="24"/>
          <w:lang w:eastAsia="pl-PL"/>
          <w14:ligatures w14:val="none"/>
        </w:rPr>
        <w:t>oraz</w:t>
      </w:r>
      <w:r w:rsidRPr="00771E87">
        <w:rPr>
          <w:rFonts w:eastAsia="Times New Roman" w:cstheme="minorHAnsi"/>
          <w:sz w:val="24"/>
          <w:szCs w:val="24"/>
          <w:lang w:eastAsia="pl-PL"/>
          <w14:ligatures w14:val="none"/>
        </w:rPr>
        <w:t xml:space="preserve"> produkcje towarów i usług</w:t>
      </w:r>
      <w:r w:rsidR="0062058D" w:rsidRPr="00771E87">
        <w:rPr>
          <w:rFonts w:eastAsia="Times New Roman" w:cstheme="minorHAnsi"/>
          <w:sz w:val="24"/>
          <w:szCs w:val="24"/>
          <w:lang w:eastAsia="pl-PL"/>
          <w14:ligatures w14:val="none"/>
        </w:rPr>
        <w:t xml:space="preserve">, mające na celu </w:t>
      </w:r>
      <w:r w:rsidR="009D7B18" w:rsidRPr="00771E87">
        <w:rPr>
          <w:rFonts w:eastAsia="Times New Roman" w:cstheme="minorHAnsi"/>
          <w:sz w:val="24"/>
          <w:szCs w:val="24"/>
          <w:lang w:eastAsia="pl-PL"/>
          <w14:ligatures w14:val="none"/>
        </w:rPr>
        <w:t xml:space="preserve">rozszerzenie </w:t>
      </w:r>
      <w:r w:rsidR="0062058D" w:rsidRPr="00771E87">
        <w:rPr>
          <w:rFonts w:eastAsia="Times New Roman" w:cstheme="minorHAnsi"/>
          <w:sz w:val="24"/>
          <w:szCs w:val="24"/>
          <w:lang w:eastAsia="pl-PL"/>
          <w14:ligatures w14:val="none"/>
        </w:rPr>
        <w:t xml:space="preserve">lub </w:t>
      </w:r>
      <w:r w:rsidR="009D7B18" w:rsidRPr="00771E87">
        <w:rPr>
          <w:rFonts w:eastAsia="Times New Roman" w:cstheme="minorHAnsi"/>
          <w:sz w:val="24"/>
          <w:szCs w:val="24"/>
          <w:lang w:eastAsia="pl-PL"/>
          <w14:ligatures w14:val="none"/>
        </w:rPr>
        <w:t xml:space="preserve">dywersyfikację </w:t>
      </w:r>
      <w:r w:rsidR="0062058D" w:rsidRPr="00771E87">
        <w:rPr>
          <w:rFonts w:eastAsia="Times New Roman" w:cstheme="minorHAnsi"/>
          <w:sz w:val="24"/>
          <w:szCs w:val="24"/>
          <w:lang w:eastAsia="pl-PL"/>
          <w14:ligatures w14:val="none"/>
        </w:rPr>
        <w:t>prowadzonej działalności gospodarczej</w:t>
      </w:r>
      <w:r w:rsidRPr="00771E87">
        <w:rPr>
          <w:rFonts w:eastAsia="Times New Roman" w:cstheme="minorHAnsi"/>
          <w:sz w:val="24"/>
          <w:szCs w:val="24"/>
          <w:lang w:eastAsia="pl-PL"/>
          <w14:ligatures w14:val="none"/>
        </w:rPr>
        <w:t>.</w:t>
      </w:r>
    </w:p>
    <w:p w14:paraId="7933C0D7" w14:textId="3F1DD62B" w:rsidR="009277D5" w:rsidRPr="00771E87" w:rsidRDefault="0E9D5237" w:rsidP="004B3A93">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Ponadto, przedsięwzięcie MŚP otrzymujące wsparcie może obejmować komponent szkoleniowy oraz doradczy, z zastrzeżeniem, że łączne wydatki</w:t>
      </w:r>
      <w:r w:rsidR="00F85D06" w:rsidRPr="00771E87">
        <w:rPr>
          <w:rFonts w:eastAsia="Times New Roman" w:cstheme="minorHAnsi"/>
          <w:sz w:val="24"/>
          <w:szCs w:val="24"/>
          <w:lang w:eastAsia="pl-PL"/>
        </w:rPr>
        <w:t xml:space="preserve"> kwalifikowalne </w:t>
      </w:r>
      <w:r w:rsidR="7DDA7965" w:rsidRPr="00771E87">
        <w:rPr>
          <w:rFonts w:eastAsia="Times New Roman" w:cstheme="minorHAnsi"/>
          <w:sz w:val="24"/>
          <w:szCs w:val="24"/>
          <w:lang w:eastAsia="pl-PL"/>
        </w:rPr>
        <w:t>na</w:t>
      </w:r>
      <w:r w:rsidRPr="00771E87">
        <w:rPr>
          <w:rFonts w:eastAsia="Times New Roman" w:cstheme="minorHAnsi"/>
          <w:sz w:val="24"/>
          <w:szCs w:val="24"/>
          <w:lang w:eastAsia="pl-PL"/>
          <w14:ligatures w14:val="none"/>
        </w:rPr>
        <w:t xml:space="preserve"> komponent szkoleniowy</w:t>
      </w:r>
      <w:r w:rsidR="005C1C27" w:rsidRPr="00771E87">
        <w:rPr>
          <w:rFonts w:eastAsia="Times New Roman" w:cstheme="minorHAnsi"/>
          <w:sz w:val="24"/>
          <w:szCs w:val="24"/>
          <w:lang w:eastAsia="pl-PL"/>
          <w14:ligatures w14:val="none"/>
        </w:rPr>
        <w:t xml:space="preserve"> </w:t>
      </w:r>
      <w:r w:rsidRPr="00771E87">
        <w:rPr>
          <w:rFonts w:eastAsia="Times New Roman" w:cstheme="minorHAnsi"/>
          <w:sz w:val="24"/>
          <w:szCs w:val="24"/>
          <w:lang w:eastAsia="pl-PL"/>
          <w14:ligatures w14:val="none"/>
        </w:rPr>
        <w:t xml:space="preserve">i </w:t>
      </w:r>
      <w:r w:rsidR="00A579EE" w:rsidRPr="00771E87">
        <w:rPr>
          <w:rFonts w:eastAsia="Times New Roman" w:cstheme="minorHAnsi"/>
          <w:sz w:val="24"/>
          <w:szCs w:val="24"/>
          <w:lang w:eastAsia="pl-PL"/>
          <w14:ligatures w14:val="none"/>
        </w:rPr>
        <w:t> </w:t>
      </w:r>
      <w:r w:rsidRPr="00771E87">
        <w:rPr>
          <w:rFonts w:eastAsia="Times New Roman" w:cstheme="minorHAnsi"/>
          <w:sz w:val="24"/>
          <w:szCs w:val="24"/>
          <w:lang w:eastAsia="pl-PL"/>
          <w14:ligatures w14:val="none"/>
        </w:rPr>
        <w:t xml:space="preserve">doradczy nie przekraczają 30% </w:t>
      </w:r>
      <w:r w:rsidR="322D2368" w:rsidRPr="00771E87">
        <w:rPr>
          <w:rFonts w:eastAsia="Times New Roman" w:cstheme="minorHAnsi"/>
          <w:sz w:val="24"/>
          <w:szCs w:val="24"/>
          <w:lang w:eastAsia="pl-PL"/>
          <w14:ligatures w14:val="none"/>
        </w:rPr>
        <w:t xml:space="preserve">kwoty </w:t>
      </w:r>
      <w:r w:rsidR="009277D5" w:rsidRPr="00771E87">
        <w:rPr>
          <w:rFonts w:eastAsia="Times New Roman" w:cstheme="minorHAnsi"/>
          <w:sz w:val="24"/>
          <w:szCs w:val="24"/>
          <w:lang w:eastAsia="pl-PL"/>
        </w:rPr>
        <w:t>wydatków kwalifikowalnych</w:t>
      </w:r>
      <w:r w:rsidR="00F85D06" w:rsidRPr="00771E87">
        <w:rPr>
          <w:rFonts w:eastAsia="Times New Roman" w:cstheme="minorHAnsi"/>
          <w:sz w:val="24"/>
          <w:szCs w:val="24"/>
          <w:lang w:eastAsia="pl-PL"/>
        </w:rPr>
        <w:t xml:space="preserve"> w przedsięwzięciu MŚP</w:t>
      </w:r>
      <w:r w:rsidR="322D2368" w:rsidRPr="00771E87">
        <w:rPr>
          <w:rFonts w:eastAsia="Times New Roman" w:cstheme="minorHAnsi"/>
          <w:sz w:val="24"/>
          <w:szCs w:val="24"/>
          <w:lang w:eastAsia="pl-PL"/>
          <w14:ligatures w14:val="none"/>
        </w:rPr>
        <w:t xml:space="preserve">. </w:t>
      </w:r>
    </w:p>
    <w:p w14:paraId="2147D8C3" w14:textId="3C94FB8C" w:rsidR="009277D5" w:rsidRPr="00771E87" w:rsidRDefault="2860B6CD" w:rsidP="004B3A93">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 xml:space="preserve">Komponent szkoleniowy obejmuje wydatki MŚP </w:t>
      </w:r>
      <w:r w:rsidR="76A15531" w:rsidRPr="00771E87">
        <w:rPr>
          <w:rFonts w:eastAsia="Times New Roman" w:cstheme="minorHAnsi"/>
          <w:sz w:val="24"/>
          <w:szCs w:val="24"/>
          <w:lang w:eastAsia="pl-PL"/>
          <w14:ligatures w14:val="none"/>
        </w:rPr>
        <w:t>mające na celu podnoszenie</w:t>
      </w:r>
      <w:r w:rsidR="5898E28D" w:rsidRPr="00771E87">
        <w:rPr>
          <w:rFonts w:eastAsia="Times New Roman" w:cstheme="minorHAnsi"/>
          <w:sz w:val="24"/>
          <w:szCs w:val="24"/>
          <w:lang w:eastAsia="pl-PL"/>
          <w14:ligatures w14:val="none"/>
        </w:rPr>
        <w:t xml:space="preserve"> </w:t>
      </w:r>
      <w:r w:rsidR="76A15531" w:rsidRPr="00771E87">
        <w:rPr>
          <w:rFonts w:eastAsia="Times New Roman" w:cstheme="minorHAnsi"/>
          <w:sz w:val="24"/>
          <w:szCs w:val="24"/>
          <w:lang w:eastAsia="pl-PL"/>
          <w14:ligatures w14:val="none"/>
        </w:rPr>
        <w:t>kwalifikacji</w:t>
      </w:r>
      <w:r w:rsidR="00AE25A5" w:rsidRPr="00771E87">
        <w:rPr>
          <w:rFonts w:eastAsia="Times New Roman" w:cstheme="minorHAnsi"/>
          <w:sz w:val="24"/>
          <w:szCs w:val="24"/>
          <w:lang w:eastAsia="pl-PL"/>
          <w14:ligatures w14:val="none"/>
        </w:rPr>
        <w:t xml:space="preserve"> </w:t>
      </w:r>
      <w:r w:rsidR="76A15531" w:rsidRPr="00771E87">
        <w:rPr>
          <w:rFonts w:eastAsia="Times New Roman" w:cstheme="minorHAnsi"/>
          <w:sz w:val="24"/>
          <w:szCs w:val="24"/>
          <w:lang w:eastAsia="pl-PL"/>
          <w14:ligatures w14:val="none"/>
        </w:rPr>
        <w:t xml:space="preserve">i </w:t>
      </w:r>
      <w:r w:rsidR="00A579EE" w:rsidRPr="00771E87">
        <w:rPr>
          <w:rFonts w:eastAsia="Times New Roman" w:cstheme="minorHAnsi"/>
          <w:sz w:val="24"/>
          <w:szCs w:val="24"/>
          <w:lang w:eastAsia="pl-PL"/>
          <w14:ligatures w14:val="none"/>
        </w:rPr>
        <w:t> </w:t>
      </w:r>
      <w:r w:rsidR="76A15531" w:rsidRPr="00771E87">
        <w:rPr>
          <w:rFonts w:eastAsia="Times New Roman" w:cstheme="minorHAnsi"/>
          <w:sz w:val="24"/>
          <w:szCs w:val="24"/>
          <w:lang w:eastAsia="pl-PL"/>
          <w14:ligatures w14:val="none"/>
        </w:rPr>
        <w:t>przekwalifikowanie pracowników</w:t>
      </w:r>
      <w:r w:rsidRPr="00771E87">
        <w:rPr>
          <w:rFonts w:eastAsia="Times New Roman" w:cstheme="minorHAnsi"/>
          <w:sz w:val="24"/>
          <w:szCs w:val="24"/>
          <w:lang w:eastAsia="pl-PL"/>
          <w14:ligatures w14:val="none"/>
        </w:rPr>
        <w:t>.</w:t>
      </w:r>
    </w:p>
    <w:p w14:paraId="6D1686D0" w14:textId="497A9121" w:rsidR="009277D5" w:rsidRPr="00771E87" w:rsidRDefault="0062058D" w:rsidP="004B3A93">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 xml:space="preserve">Komponent doradczy obejmuje wydatki MŚP na usługi </w:t>
      </w:r>
      <w:r w:rsidR="009277D5" w:rsidRPr="00771E87">
        <w:rPr>
          <w:rFonts w:eastAsia="Times New Roman" w:cstheme="minorHAnsi"/>
          <w:sz w:val="24"/>
          <w:szCs w:val="24"/>
          <w:lang w:eastAsia="pl-PL"/>
          <w14:ligatures w14:val="none"/>
        </w:rPr>
        <w:t>doradcze w zakresie realizacji przedsięwzięcia MŚP.</w:t>
      </w:r>
    </w:p>
    <w:p w14:paraId="657FBDCA" w14:textId="3A82F490" w:rsidR="0062058D" w:rsidRPr="00771E87" w:rsidRDefault="516536F3" w:rsidP="004B3A93">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Wydatki w ramach komponentu szkoleniowego oraz doradczego nie mogą mieć charakteru ogólnego</w:t>
      </w:r>
      <w:r w:rsidR="5D9575F6" w:rsidRPr="00771E87">
        <w:rPr>
          <w:rFonts w:eastAsia="Times New Roman" w:cstheme="minorHAnsi"/>
          <w:sz w:val="24"/>
          <w:szCs w:val="24"/>
          <w:lang w:eastAsia="pl-PL"/>
          <w14:ligatures w14:val="none"/>
        </w:rPr>
        <w:t>,</w:t>
      </w:r>
      <w:r w:rsidRPr="00771E87">
        <w:rPr>
          <w:rFonts w:eastAsia="Times New Roman" w:cstheme="minorHAnsi"/>
          <w:sz w:val="24"/>
          <w:szCs w:val="24"/>
          <w:lang w:eastAsia="pl-PL"/>
          <w14:ligatures w14:val="none"/>
        </w:rPr>
        <w:t xml:space="preserve"> ale muszą</w:t>
      </w:r>
      <w:r w:rsidR="45958090" w:rsidRPr="00771E87">
        <w:rPr>
          <w:rFonts w:eastAsia="Times New Roman" w:cstheme="minorHAnsi"/>
          <w:sz w:val="24"/>
          <w:szCs w:val="24"/>
          <w:lang w:eastAsia="pl-PL"/>
          <w14:ligatures w14:val="none"/>
        </w:rPr>
        <w:t xml:space="preserve"> być ściśle związane z konkretnym przedsięwzięciem MŚP, które otrzymuje wsparcie.</w:t>
      </w:r>
    </w:p>
    <w:p w14:paraId="2BF1DD24" w14:textId="4FDDFD7F" w:rsidR="00A579EE" w:rsidRPr="00771E87" w:rsidRDefault="52C64463" w:rsidP="5C24ED9C">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 xml:space="preserve">MŚP jest zobowiązane do realizacji wszystkich komponentów, które zostały określone </w:t>
      </w:r>
      <w:r w:rsidR="302970CF" w:rsidRPr="00771E87">
        <w:rPr>
          <w:rFonts w:eastAsia="Times New Roman" w:cstheme="minorHAnsi"/>
          <w:sz w:val="24"/>
          <w:szCs w:val="24"/>
          <w:lang w:eastAsia="pl-PL"/>
          <w14:ligatures w14:val="none"/>
        </w:rPr>
        <w:t xml:space="preserve">w umowie </w:t>
      </w:r>
      <w:r w:rsidR="00AE25A5" w:rsidRPr="00771E87">
        <w:rPr>
          <w:rFonts w:eastAsia="Times New Roman" w:cstheme="minorHAnsi"/>
          <w:sz w:val="24"/>
          <w:szCs w:val="24"/>
          <w:lang w:eastAsia="pl-PL"/>
          <w14:ligatures w14:val="none"/>
        </w:rPr>
        <w:t xml:space="preserve"> </w:t>
      </w:r>
      <w:r w:rsidR="709B3262" w:rsidRPr="00771E87">
        <w:rPr>
          <w:rFonts w:eastAsia="Times New Roman" w:cstheme="minorHAnsi"/>
          <w:sz w:val="24"/>
          <w:szCs w:val="24"/>
          <w:lang w:eastAsia="pl-PL"/>
        </w:rPr>
        <w:t>o objęcie przedsięwzięcia MŚP wsparciem</w:t>
      </w:r>
      <w:r w:rsidRPr="00771E87">
        <w:rPr>
          <w:rFonts w:eastAsia="Times New Roman" w:cstheme="minorHAnsi"/>
          <w:sz w:val="24"/>
          <w:szCs w:val="24"/>
          <w:lang w:eastAsia="pl-PL"/>
          <w14:ligatures w14:val="none"/>
        </w:rPr>
        <w:t>. Nie jest dopuszczalna możliwość rezygnacji przez MŚP</w:t>
      </w:r>
      <w:r w:rsidR="00AE25A5" w:rsidRPr="00771E87">
        <w:rPr>
          <w:rFonts w:eastAsia="Times New Roman" w:cstheme="minorHAnsi"/>
          <w:sz w:val="24"/>
          <w:szCs w:val="24"/>
          <w:lang w:eastAsia="pl-PL"/>
          <w14:ligatures w14:val="none"/>
        </w:rPr>
        <w:t xml:space="preserve"> </w:t>
      </w:r>
      <w:r w:rsidRPr="00771E87">
        <w:rPr>
          <w:rFonts w:eastAsia="Times New Roman" w:cstheme="minorHAnsi"/>
          <w:sz w:val="24"/>
          <w:szCs w:val="24"/>
          <w:lang w:eastAsia="pl-PL"/>
          <w14:ligatures w14:val="none"/>
        </w:rPr>
        <w:t>z</w:t>
      </w:r>
      <w:r w:rsidR="00F00B76">
        <w:rPr>
          <w:rFonts w:eastAsia="Times New Roman" w:cstheme="minorHAnsi"/>
          <w:sz w:val="24"/>
          <w:szCs w:val="24"/>
          <w:lang w:eastAsia="pl-PL"/>
          <w14:ligatures w14:val="none"/>
        </w:rPr>
        <w:t> </w:t>
      </w:r>
      <w:r w:rsidRPr="00771E87">
        <w:rPr>
          <w:rFonts w:eastAsia="Times New Roman" w:cstheme="minorHAnsi"/>
          <w:sz w:val="24"/>
          <w:szCs w:val="24"/>
          <w:lang w:eastAsia="pl-PL"/>
          <w14:ligatures w14:val="none"/>
        </w:rPr>
        <w:t>realizacji komponentu określonego w umowie</w:t>
      </w:r>
      <w:r w:rsidR="3918DC64" w:rsidRPr="00771E87">
        <w:rPr>
          <w:rFonts w:eastAsia="Times New Roman" w:cstheme="minorHAnsi"/>
          <w:sz w:val="24"/>
          <w:szCs w:val="24"/>
          <w:lang w:eastAsia="pl-PL"/>
        </w:rPr>
        <w:t xml:space="preserve"> o objęcie przedsięwzięcia MŚP wsparciem</w:t>
      </w:r>
      <w:r w:rsidRPr="00771E87">
        <w:rPr>
          <w:rFonts w:eastAsia="Times New Roman" w:cstheme="minorHAnsi"/>
          <w:sz w:val="24"/>
          <w:szCs w:val="24"/>
          <w:lang w:eastAsia="pl-PL"/>
          <w14:ligatures w14:val="none"/>
        </w:rPr>
        <w:t>.</w:t>
      </w:r>
      <w:r w:rsidR="00C92093" w:rsidRPr="00771E87">
        <w:rPr>
          <w:rFonts w:eastAsia="Times New Roman" w:cstheme="minorHAnsi"/>
          <w:sz w:val="24"/>
          <w:szCs w:val="24"/>
          <w:lang w:eastAsia="pl-PL"/>
          <w14:ligatures w14:val="none"/>
        </w:rPr>
        <w:t xml:space="preserve"> </w:t>
      </w:r>
      <w:r w:rsidRPr="00771E87">
        <w:rPr>
          <w:rFonts w:eastAsia="Times New Roman" w:cstheme="minorHAnsi"/>
          <w:sz w:val="24"/>
          <w:szCs w:val="24"/>
          <w:lang w:eastAsia="pl-PL"/>
          <w14:ligatures w14:val="none"/>
        </w:rPr>
        <w:t xml:space="preserve">Możliwe jest natomiast przesuwanie w trakcie realizacji przedsięwzięcia </w:t>
      </w:r>
      <w:r w:rsidR="2833DB5B" w:rsidRPr="00771E87">
        <w:rPr>
          <w:rFonts w:eastAsia="Times New Roman" w:cstheme="minorHAnsi"/>
          <w:sz w:val="24"/>
          <w:szCs w:val="24"/>
          <w:lang w:eastAsia="pl-PL"/>
        </w:rPr>
        <w:t xml:space="preserve">MŚP </w:t>
      </w:r>
      <w:r w:rsidRPr="00771E87">
        <w:rPr>
          <w:rFonts w:eastAsia="Times New Roman" w:cstheme="minorHAnsi"/>
          <w:sz w:val="24"/>
          <w:szCs w:val="24"/>
          <w:lang w:eastAsia="pl-PL"/>
          <w14:ligatures w14:val="none"/>
        </w:rPr>
        <w:t>zaplanowanych wydatków między poszczególnymi komponentami, z zastrzeżeniem, iż:</w:t>
      </w:r>
    </w:p>
    <w:p w14:paraId="4C1F4C45" w14:textId="3B9D170B" w:rsidR="00A105A5" w:rsidRPr="00BF1BCA" w:rsidRDefault="52C64463" w:rsidP="5C24ED9C">
      <w:pPr>
        <w:spacing w:line="360" w:lineRule="auto"/>
        <w:rPr>
          <w:rFonts w:eastAsia="Times New Roman" w:cstheme="minorHAnsi"/>
          <w:sz w:val="24"/>
          <w:szCs w:val="24"/>
          <w:lang w:eastAsia="pl-PL"/>
          <w14:ligatures w14:val="none"/>
        </w:rPr>
      </w:pPr>
      <w:r w:rsidRPr="00771E87">
        <w:rPr>
          <w:rFonts w:eastAsia="Times New Roman" w:cstheme="minorHAnsi"/>
          <w:sz w:val="24"/>
          <w:szCs w:val="24"/>
          <w:lang w:eastAsia="pl-PL"/>
          <w14:ligatures w14:val="none"/>
        </w:rPr>
        <w:t>-</w:t>
      </w:r>
      <w:r w:rsidR="38BF21F2" w:rsidRPr="00771E87">
        <w:rPr>
          <w:rFonts w:eastAsia="Times New Roman" w:cstheme="minorHAnsi"/>
          <w:sz w:val="24"/>
          <w:szCs w:val="24"/>
          <w:lang w:eastAsia="pl-PL"/>
        </w:rPr>
        <w:t xml:space="preserve">co najmniej 70% </w:t>
      </w:r>
      <w:r w:rsidR="27D85089" w:rsidRPr="00771E87">
        <w:rPr>
          <w:rFonts w:eastAsia="Times New Roman" w:cstheme="minorHAnsi"/>
          <w:sz w:val="24"/>
          <w:szCs w:val="24"/>
          <w:lang w:eastAsia="pl-PL"/>
        </w:rPr>
        <w:t xml:space="preserve">wydatków kwalifikowalnych </w:t>
      </w:r>
      <w:r w:rsidR="38BF21F2" w:rsidRPr="00771E87">
        <w:rPr>
          <w:rFonts w:eastAsia="Times New Roman" w:cstheme="minorHAnsi"/>
          <w:sz w:val="24"/>
          <w:szCs w:val="24"/>
          <w:lang w:eastAsia="pl-PL"/>
        </w:rPr>
        <w:t xml:space="preserve">zostanie </w:t>
      </w:r>
      <w:r w:rsidR="27D85089" w:rsidRPr="00771E87">
        <w:rPr>
          <w:rFonts w:eastAsia="Times New Roman" w:cstheme="minorHAnsi"/>
          <w:sz w:val="24"/>
          <w:szCs w:val="24"/>
          <w:lang w:eastAsia="pl-PL"/>
        </w:rPr>
        <w:t xml:space="preserve">przeznaczona </w:t>
      </w:r>
      <w:r w:rsidR="38BF21F2" w:rsidRPr="00771E87">
        <w:rPr>
          <w:rFonts w:eastAsia="Times New Roman" w:cstheme="minorHAnsi"/>
          <w:sz w:val="24"/>
          <w:szCs w:val="24"/>
          <w:lang w:eastAsia="pl-PL"/>
        </w:rPr>
        <w:t xml:space="preserve">na </w:t>
      </w:r>
      <w:r w:rsidRPr="00771E87">
        <w:rPr>
          <w:rFonts w:eastAsia="Times New Roman" w:cstheme="minorHAnsi"/>
          <w:sz w:val="24"/>
          <w:szCs w:val="24"/>
          <w:lang w:eastAsia="pl-PL"/>
          <w14:ligatures w14:val="none"/>
        </w:rPr>
        <w:t>wydatk</w:t>
      </w:r>
      <w:r w:rsidR="134FCB8A" w:rsidRPr="00771E87">
        <w:rPr>
          <w:rFonts w:eastAsia="Times New Roman" w:cstheme="minorHAnsi"/>
          <w:sz w:val="24"/>
          <w:szCs w:val="24"/>
          <w:lang w:eastAsia="pl-PL"/>
        </w:rPr>
        <w:t>i</w:t>
      </w:r>
      <w:r w:rsidRPr="00771E87">
        <w:rPr>
          <w:rFonts w:eastAsia="Times New Roman" w:cstheme="minorHAnsi"/>
          <w:sz w:val="24"/>
          <w:szCs w:val="24"/>
          <w:lang w:eastAsia="pl-PL"/>
          <w14:ligatures w14:val="none"/>
        </w:rPr>
        <w:t xml:space="preserve"> związan</w:t>
      </w:r>
      <w:r w:rsidR="539D8200" w:rsidRPr="00771E87">
        <w:rPr>
          <w:rFonts w:eastAsia="Times New Roman" w:cstheme="minorHAnsi"/>
          <w:sz w:val="24"/>
          <w:szCs w:val="24"/>
          <w:lang w:eastAsia="pl-PL"/>
        </w:rPr>
        <w:t>e</w:t>
      </w:r>
      <w:r w:rsidR="001D2F52" w:rsidRPr="00771E87">
        <w:rPr>
          <w:rFonts w:eastAsia="Times New Roman" w:cstheme="minorHAnsi"/>
          <w:sz w:val="24"/>
          <w:szCs w:val="24"/>
          <w:lang w:eastAsia="pl-PL"/>
        </w:rPr>
        <w:t xml:space="preserve"> </w:t>
      </w:r>
      <w:r w:rsidR="2903DE38" w:rsidRPr="00771E87">
        <w:rPr>
          <w:rFonts w:eastAsia="Times New Roman" w:cstheme="minorHAnsi"/>
          <w:sz w:val="24"/>
          <w:szCs w:val="24"/>
          <w:lang w:eastAsia="pl-PL"/>
        </w:rPr>
        <w:t>z</w:t>
      </w:r>
      <w:r w:rsidRPr="00771E87">
        <w:rPr>
          <w:rFonts w:eastAsia="Times New Roman" w:cstheme="minorHAnsi"/>
          <w:sz w:val="24"/>
          <w:szCs w:val="24"/>
          <w:lang w:eastAsia="pl-PL"/>
          <w14:ligatures w14:val="none"/>
        </w:rPr>
        <w:t xml:space="preserve"> </w:t>
      </w:r>
      <w:r w:rsidR="00A579EE" w:rsidRPr="00771E87">
        <w:rPr>
          <w:rFonts w:eastAsia="Times New Roman" w:cstheme="minorHAnsi"/>
          <w:sz w:val="24"/>
          <w:szCs w:val="24"/>
          <w:lang w:eastAsia="pl-PL"/>
          <w14:ligatures w14:val="none"/>
        </w:rPr>
        <w:t> </w:t>
      </w:r>
      <w:r w:rsidRPr="00771E87">
        <w:rPr>
          <w:rFonts w:eastAsia="Times New Roman" w:cstheme="minorHAnsi"/>
          <w:sz w:val="24"/>
          <w:szCs w:val="24"/>
          <w:lang w:eastAsia="pl-PL"/>
          <w14:ligatures w14:val="none"/>
        </w:rPr>
        <w:t>komponentem inwestycyjnym</w:t>
      </w:r>
      <w:r w:rsidR="71828520" w:rsidRPr="00771E87">
        <w:rPr>
          <w:rFonts w:eastAsia="Times New Roman" w:cstheme="minorHAnsi"/>
          <w:sz w:val="24"/>
          <w:szCs w:val="24"/>
          <w:lang w:eastAsia="pl-PL"/>
        </w:rPr>
        <w:t>;</w:t>
      </w:r>
    </w:p>
    <w:p w14:paraId="3A270E50" w14:textId="5A8816C9" w:rsidR="513AA3FB" w:rsidRPr="00771E87" w:rsidRDefault="711B5C4A" w:rsidP="00451844">
      <w:pPr>
        <w:spacing w:line="360" w:lineRule="auto"/>
        <w:rPr>
          <w:rFonts w:eastAsia="Times New Roman" w:cstheme="minorHAnsi"/>
          <w:sz w:val="24"/>
          <w:szCs w:val="24"/>
          <w:lang w:eastAsia="pl-PL"/>
        </w:rPr>
      </w:pPr>
      <w:r w:rsidRPr="00771E87">
        <w:rPr>
          <w:rFonts w:eastAsia="Times New Roman" w:cstheme="minorHAnsi"/>
          <w:sz w:val="24"/>
          <w:szCs w:val="24"/>
          <w:lang w:eastAsia="pl-PL"/>
        </w:rPr>
        <w:t>-</w:t>
      </w:r>
      <w:r w:rsidR="773FA669" w:rsidRPr="00771E87">
        <w:rPr>
          <w:rFonts w:eastAsia="Times New Roman" w:cstheme="minorHAnsi"/>
          <w:sz w:val="24"/>
          <w:szCs w:val="24"/>
          <w:lang w:eastAsia="pl-PL"/>
        </w:rPr>
        <w:t>p</w:t>
      </w:r>
      <w:r w:rsidR="49ACAD0B" w:rsidRPr="00771E87">
        <w:rPr>
          <w:rFonts w:eastAsia="Times New Roman" w:cstheme="minorHAnsi"/>
          <w:sz w:val="24"/>
          <w:szCs w:val="24"/>
          <w:lang w:eastAsia="pl-PL"/>
        </w:rPr>
        <w:t xml:space="preserve">rzesunięcie </w:t>
      </w:r>
      <w:r w:rsidR="14AF4100" w:rsidRPr="00771E87">
        <w:rPr>
          <w:rFonts w:eastAsia="Times New Roman" w:cstheme="minorHAnsi"/>
          <w:sz w:val="24"/>
          <w:szCs w:val="24"/>
          <w:lang w:eastAsia="pl-PL"/>
        </w:rPr>
        <w:t xml:space="preserve">wydatków </w:t>
      </w:r>
      <w:r w:rsidR="49ACAD0B" w:rsidRPr="00771E87">
        <w:rPr>
          <w:rFonts w:eastAsia="Times New Roman" w:cstheme="minorHAnsi"/>
          <w:sz w:val="24"/>
          <w:szCs w:val="24"/>
          <w:lang w:eastAsia="pl-PL"/>
        </w:rPr>
        <w:t>pomiędzy komponentami nie przekracza 25% wartości</w:t>
      </w:r>
      <w:r w:rsidR="730AA381" w:rsidRPr="00771E87">
        <w:rPr>
          <w:rFonts w:eastAsia="Times New Roman" w:cstheme="minorHAnsi"/>
          <w:sz w:val="24"/>
          <w:szCs w:val="24"/>
          <w:lang w:eastAsia="pl-PL"/>
        </w:rPr>
        <w:t xml:space="preserve"> </w:t>
      </w:r>
      <w:r w:rsidR="19085B68" w:rsidRPr="00771E87">
        <w:rPr>
          <w:rFonts w:eastAsia="Times New Roman" w:cstheme="minorHAnsi"/>
          <w:sz w:val="24"/>
          <w:szCs w:val="24"/>
          <w:lang w:eastAsia="pl-PL"/>
        </w:rPr>
        <w:t>wydatków kwalifikowalnych</w:t>
      </w:r>
      <w:r w:rsidR="730AA381" w:rsidRPr="00771E87">
        <w:rPr>
          <w:rFonts w:eastAsia="Times New Roman" w:cstheme="minorHAnsi"/>
          <w:sz w:val="24"/>
          <w:szCs w:val="24"/>
          <w:lang w:eastAsia="pl-PL"/>
        </w:rPr>
        <w:t xml:space="preserve"> w ramach</w:t>
      </w:r>
      <w:r w:rsidR="49ACAD0B" w:rsidRPr="00771E87">
        <w:rPr>
          <w:rFonts w:eastAsia="Times New Roman" w:cstheme="minorHAnsi"/>
          <w:sz w:val="24"/>
          <w:szCs w:val="24"/>
          <w:lang w:eastAsia="pl-PL"/>
        </w:rPr>
        <w:t xml:space="preserve"> komponentu, </w:t>
      </w:r>
      <w:r w:rsidR="22299FE3" w:rsidRPr="00771E87">
        <w:rPr>
          <w:rFonts w:eastAsia="Times New Roman" w:cstheme="minorHAnsi"/>
          <w:sz w:val="24"/>
          <w:szCs w:val="24"/>
          <w:lang w:eastAsia="pl-PL"/>
        </w:rPr>
        <w:t xml:space="preserve">z </w:t>
      </w:r>
      <w:r w:rsidR="49ACAD0B" w:rsidRPr="00771E87">
        <w:rPr>
          <w:rFonts w:eastAsia="Times New Roman" w:cstheme="minorHAnsi"/>
          <w:sz w:val="24"/>
          <w:szCs w:val="24"/>
          <w:lang w:eastAsia="pl-PL"/>
        </w:rPr>
        <w:t>k</w:t>
      </w:r>
      <w:r w:rsidR="32A2F436" w:rsidRPr="00771E87">
        <w:rPr>
          <w:rFonts w:eastAsia="Times New Roman" w:cstheme="minorHAnsi"/>
          <w:sz w:val="24"/>
          <w:szCs w:val="24"/>
          <w:lang w:eastAsia="pl-PL"/>
        </w:rPr>
        <w:t>tórego następuje przesunięcie</w:t>
      </w:r>
      <w:r w:rsidR="66B1F651" w:rsidRPr="00771E87">
        <w:rPr>
          <w:rFonts w:eastAsia="Times New Roman" w:cstheme="minorHAnsi"/>
          <w:sz w:val="24"/>
          <w:szCs w:val="24"/>
          <w:lang w:eastAsia="pl-PL"/>
        </w:rPr>
        <w:t>, o ile zmiana</w:t>
      </w:r>
      <w:r w:rsidR="00684BB3" w:rsidRPr="00771E87">
        <w:rPr>
          <w:rFonts w:eastAsia="Times New Roman" w:cstheme="minorHAnsi"/>
          <w:sz w:val="24"/>
          <w:szCs w:val="24"/>
          <w:lang w:eastAsia="pl-PL"/>
        </w:rPr>
        <w:t xml:space="preserve"> </w:t>
      </w:r>
      <w:r w:rsidR="66B1F651" w:rsidRPr="00771E87">
        <w:rPr>
          <w:rFonts w:eastAsia="Times New Roman" w:cstheme="minorHAnsi"/>
          <w:sz w:val="24"/>
          <w:szCs w:val="24"/>
          <w:lang w:eastAsia="pl-PL"/>
        </w:rPr>
        <w:t xml:space="preserve">ta nie </w:t>
      </w:r>
      <w:r w:rsidR="00A579EE" w:rsidRPr="00771E87">
        <w:rPr>
          <w:rFonts w:eastAsia="Times New Roman" w:cstheme="minorHAnsi"/>
          <w:sz w:val="24"/>
          <w:szCs w:val="24"/>
          <w:lang w:eastAsia="pl-PL"/>
        </w:rPr>
        <w:t> </w:t>
      </w:r>
      <w:r w:rsidR="66B1F651" w:rsidRPr="00771E87">
        <w:rPr>
          <w:rFonts w:eastAsia="Times New Roman" w:cstheme="minorHAnsi"/>
          <w:sz w:val="24"/>
          <w:szCs w:val="24"/>
          <w:lang w:eastAsia="pl-PL"/>
        </w:rPr>
        <w:t>wpływa na zakres rzeczowy przedsięwzięcia MŚP</w:t>
      </w:r>
      <w:r w:rsidR="06F52C9E" w:rsidRPr="00771E87">
        <w:rPr>
          <w:rFonts w:eastAsia="Times New Roman" w:cstheme="minorHAnsi"/>
          <w:sz w:val="24"/>
          <w:szCs w:val="24"/>
          <w:lang w:eastAsia="pl-PL"/>
        </w:rPr>
        <w:t>.</w:t>
      </w:r>
    </w:p>
    <w:p w14:paraId="67B47042" w14:textId="5BD3C081" w:rsidR="0062058D" w:rsidRPr="00771E87" w:rsidRDefault="5730A8F2" w:rsidP="004B3A93">
      <w:pPr>
        <w:spacing w:line="360" w:lineRule="auto"/>
        <w:rPr>
          <w:rFonts w:eastAsia="Times New Roman" w:cstheme="minorHAnsi"/>
          <w:color w:val="498205"/>
          <w:sz w:val="24"/>
          <w:szCs w:val="24"/>
          <w:lang w:eastAsia="pl-PL"/>
          <w14:ligatures w14:val="none"/>
        </w:rPr>
      </w:pPr>
      <w:r w:rsidRPr="00771E87">
        <w:rPr>
          <w:rFonts w:eastAsia="Times New Roman" w:cstheme="minorHAnsi"/>
          <w:sz w:val="24"/>
          <w:szCs w:val="24"/>
          <w:lang w:eastAsia="pl-PL"/>
        </w:rPr>
        <w:t>Przesunięcie wydatków odbywa się na zasadach i warunkach określonych w umowie o objęcie przedsięwzięcia MŚP wsparciem.</w:t>
      </w:r>
    </w:p>
    <w:p w14:paraId="264C73CF" w14:textId="27FC4D23" w:rsidR="00421067" w:rsidRPr="00771E87" w:rsidRDefault="004B3A93" w:rsidP="00E57A4B">
      <w:pPr>
        <w:pStyle w:val="NCBR2Nagowek"/>
        <w:spacing w:after="360"/>
        <w:rPr>
          <w:rFonts w:asciiTheme="minorHAnsi" w:hAnsiTheme="minorHAnsi" w:cstheme="minorHAnsi"/>
        </w:rPr>
      </w:pPr>
      <w:bookmarkStart w:id="43" w:name="_Toc153712609"/>
      <w:bookmarkStart w:id="44" w:name="_Toc162526821"/>
      <w:r w:rsidRPr="00771E87">
        <w:rPr>
          <w:rFonts w:asciiTheme="minorHAnsi" w:hAnsiTheme="minorHAnsi" w:cstheme="minorHAnsi"/>
        </w:rPr>
        <w:lastRenderedPageBreak/>
        <w:t xml:space="preserve">4. </w:t>
      </w:r>
      <w:r w:rsidR="00AD0CF6" w:rsidRPr="00771E87">
        <w:rPr>
          <w:rFonts w:asciiTheme="minorHAnsi" w:hAnsiTheme="minorHAnsi" w:cstheme="minorHAnsi"/>
        </w:rPr>
        <w:t>Kategorie wydatków -</w:t>
      </w:r>
      <w:r w:rsidR="00780FC4" w:rsidRPr="00771E87">
        <w:rPr>
          <w:rFonts w:asciiTheme="minorHAnsi" w:hAnsiTheme="minorHAnsi" w:cstheme="minorHAnsi"/>
        </w:rPr>
        <w:t xml:space="preserve"> </w:t>
      </w:r>
      <w:r w:rsidR="00AD0CF6" w:rsidRPr="00771E87">
        <w:rPr>
          <w:rFonts w:asciiTheme="minorHAnsi" w:hAnsiTheme="minorHAnsi" w:cstheme="minorHAnsi"/>
        </w:rPr>
        <w:t>k</w:t>
      </w:r>
      <w:r w:rsidR="00426A0F" w:rsidRPr="00771E87">
        <w:rPr>
          <w:rFonts w:asciiTheme="minorHAnsi" w:hAnsiTheme="minorHAnsi" w:cstheme="minorHAnsi"/>
        </w:rPr>
        <w:t>omponent</w:t>
      </w:r>
      <w:r w:rsidR="00474A31" w:rsidRPr="00771E87">
        <w:rPr>
          <w:rFonts w:asciiTheme="minorHAnsi" w:hAnsiTheme="minorHAnsi" w:cstheme="minorHAnsi"/>
        </w:rPr>
        <w:t xml:space="preserve"> inwestycyjny</w:t>
      </w:r>
      <w:bookmarkEnd w:id="43"/>
      <w:bookmarkEnd w:id="44"/>
    </w:p>
    <w:p w14:paraId="46D595B8" w14:textId="3B174B5F" w:rsidR="00C36B3E" w:rsidRPr="00771E87" w:rsidRDefault="00507E19" w:rsidP="00E57A4B">
      <w:pPr>
        <w:pStyle w:val="NCBR2Nagowek"/>
        <w:spacing w:after="360"/>
        <w:rPr>
          <w:rFonts w:asciiTheme="minorHAnsi" w:hAnsiTheme="minorHAnsi" w:cstheme="minorHAnsi"/>
          <w:sz w:val="24"/>
          <w:szCs w:val="24"/>
        </w:rPr>
      </w:pPr>
      <w:bookmarkStart w:id="45" w:name="_Toc153712610"/>
      <w:bookmarkStart w:id="46" w:name="_Toc162526822"/>
      <w:r w:rsidRPr="00771E87">
        <w:rPr>
          <w:rFonts w:asciiTheme="minorHAnsi" w:hAnsiTheme="minorHAnsi" w:cstheme="minorHAnsi"/>
          <w:sz w:val="24"/>
          <w:szCs w:val="24"/>
        </w:rPr>
        <w:t xml:space="preserve">4.1 </w:t>
      </w:r>
      <w:r w:rsidR="002B5584" w:rsidRPr="00771E87">
        <w:rPr>
          <w:rFonts w:asciiTheme="minorHAnsi" w:hAnsiTheme="minorHAnsi" w:cstheme="minorHAnsi"/>
          <w:sz w:val="24"/>
          <w:szCs w:val="24"/>
        </w:rPr>
        <w:t>Środki trwałe</w:t>
      </w:r>
      <w:bookmarkEnd w:id="45"/>
      <w:bookmarkEnd w:id="46"/>
    </w:p>
    <w:p w14:paraId="2FA5F8D4" w14:textId="0B5EC039" w:rsidR="00921C7C" w:rsidRPr="00BF1BCA" w:rsidRDefault="07386C0A" w:rsidP="39F53199">
      <w:pPr>
        <w:pStyle w:val="paragraph"/>
        <w:spacing w:before="0" w:beforeAutospacing="0" w:after="0" w:afterAutospacing="0" w:line="360" w:lineRule="auto"/>
        <w:textAlignment w:val="baseline"/>
        <w:rPr>
          <w:rStyle w:val="eop"/>
          <w:rFonts w:asciiTheme="minorHAnsi" w:eastAsiaTheme="majorEastAsia" w:hAnsiTheme="minorHAnsi" w:cstheme="minorHAnsi"/>
        </w:rPr>
      </w:pPr>
      <w:r w:rsidRPr="00771E87">
        <w:rPr>
          <w:rStyle w:val="normaltextrun"/>
          <w:rFonts w:asciiTheme="minorHAnsi" w:eastAsiaTheme="majorEastAsia" w:hAnsiTheme="minorHAnsi" w:cstheme="minorHAnsi"/>
        </w:rPr>
        <w:t>Przez środki trwałe należy rozumieć środki trwałe, o których mowa w art. 3 ust. 1 pkt 15 ustawy</w:t>
      </w:r>
      <w:r w:rsidR="46379100" w:rsidRPr="00771E87">
        <w:rPr>
          <w:rStyle w:val="normaltextrun"/>
          <w:rFonts w:asciiTheme="minorHAnsi" w:eastAsiaTheme="majorEastAsia" w:hAnsiTheme="minorHAnsi" w:cstheme="minorHAnsi"/>
        </w:rPr>
        <w:t xml:space="preserve"> </w:t>
      </w:r>
      <w:r w:rsidRPr="00771E87">
        <w:rPr>
          <w:rStyle w:val="normaltextrun"/>
          <w:rFonts w:asciiTheme="minorHAnsi" w:eastAsiaTheme="majorEastAsia" w:hAnsiTheme="minorHAnsi" w:cstheme="minorHAnsi"/>
        </w:rPr>
        <w:t>z</w:t>
      </w:r>
      <w:r w:rsidR="00F00B76">
        <w:rPr>
          <w:rStyle w:val="normaltextrun"/>
          <w:rFonts w:asciiTheme="minorHAnsi" w:eastAsiaTheme="majorEastAsia" w:hAnsiTheme="minorHAnsi" w:cstheme="minorHAnsi"/>
        </w:rPr>
        <w:t> </w:t>
      </w:r>
      <w:r w:rsidRPr="00771E87">
        <w:rPr>
          <w:rStyle w:val="normaltextrun"/>
          <w:rFonts w:asciiTheme="minorHAnsi" w:eastAsiaTheme="majorEastAsia" w:hAnsiTheme="minorHAnsi" w:cstheme="minorHAnsi"/>
        </w:rPr>
        <w:t xml:space="preserve">dnia 29 września 1994 r. o rachunkowości (Dz. U. z 2023 r. poz. 120, z </w:t>
      </w:r>
      <w:proofErr w:type="spellStart"/>
      <w:r w:rsidRPr="00771E87">
        <w:rPr>
          <w:rStyle w:val="normaltextrun"/>
          <w:rFonts w:asciiTheme="minorHAnsi" w:eastAsiaTheme="majorEastAsia" w:hAnsiTheme="minorHAnsi" w:cstheme="minorHAnsi"/>
        </w:rPr>
        <w:t>późn</w:t>
      </w:r>
      <w:proofErr w:type="spellEnd"/>
      <w:r w:rsidRPr="00771E87">
        <w:rPr>
          <w:rStyle w:val="normaltextrun"/>
          <w:rFonts w:asciiTheme="minorHAnsi" w:eastAsiaTheme="majorEastAsia" w:hAnsiTheme="minorHAnsi" w:cstheme="minorHAnsi"/>
        </w:rPr>
        <w:t>. zm.). </w:t>
      </w:r>
      <w:r w:rsidRPr="00771E87">
        <w:rPr>
          <w:rStyle w:val="eop"/>
          <w:rFonts w:asciiTheme="minorHAnsi" w:eastAsiaTheme="majorEastAsia" w:hAnsiTheme="minorHAnsi" w:cstheme="minorHAnsi"/>
        </w:rPr>
        <w:t> </w:t>
      </w:r>
    </w:p>
    <w:p w14:paraId="2515464E" w14:textId="3A57E06B" w:rsidR="00921C7C" w:rsidRPr="00771E87" w:rsidRDefault="076D27FB" w:rsidP="75A0D702">
      <w:pPr>
        <w:keepLines/>
        <w:widowControl w:val="0"/>
        <w:spacing w:after="0" w:line="360" w:lineRule="auto"/>
        <w:rPr>
          <w:sz w:val="24"/>
          <w:szCs w:val="24"/>
        </w:rPr>
      </w:pPr>
      <w:r w:rsidRPr="00771E87">
        <w:rPr>
          <w:sz w:val="24"/>
          <w:szCs w:val="24"/>
        </w:rPr>
        <w:t>Środkami trwałymi muszą być</w:t>
      </w:r>
      <w:r w:rsidR="243EE9BF" w:rsidRPr="00771E87">
        <w:rPr>
          <w:sz w:val="24"/>
          <w:szCs w:val="24"/>
        </w:rPr>
        <w:t xml:space="preserve"> nowe</w:t>
      </w:r>
      <w:r w:rsidRPr="00771E87">
        <w:rPr>
          <w:sz w:val="24"/>
          <w:szCs w:val="24"/>
        </w:rPr>
        <w:t xml:space="preserve"> aktywa, które zostały nabyte </w:t>
      </w:r>
      <w:r w:rsidR="27A16BCA" w:rsidRPr="00771E87">
        <w:rPr>
          <w:sz w:val="24"/>
          <w:szCs w:val="24"/>
        </w:rPr>
        <w:t xml:space="preserve">przez MŚP </w:t>
      </w:r>
      <w:r w:rsidRPr="00771E87">
        <w:rPr>
          <w:sz w:val="24"/>
          <w:szCs w:val="24"/>
        </w:rPr>
        <w:t>po cenie rynkowej oraz które nie były</w:t>
      </w:r>
      <w:r w:rsidR="5E103072" w:rsidRPr="00771E87">
        <w:rPr>
          <w:sz w:val="24"/>
          <w:szCs w:val="24"/>
        </w:rPr>
        <w:t xml:space="preserve"> wcześniej </w:t>
      </w:r>
      <w:r w:rsidR="26B0FE42" w:rsidRPr="00771E87">
        <w:rPr>
          <w:sz w:val="24"/>
          <w:szCs w:val="24"/>
        </w:rPr>
        <w:t>przez kogokolwiek i w jakiejkolwiek formie używane (eksploatowane</w:t>
      </w:r>
      <w:r w:rsidR="6190437B" w:rsidRPr="00771E87">
        <w:rPr>
          <w:sz w:val="24"/>
          <w:szCs w:val="24"/>
        </w:rPr>
        <w:t>).</w:t>
      </w:r>
    </w:p>
    <w:p w14:paraId="16CD83D1" w14:textId="0DE18E2C" w:rsidR="00921C7C" w:rsidRPr="00771E87" w:rsidRDefault="619D822C" w:rsidP="004B3A93">
      <w:pPr>
        <w:pStyle w:val="paragraph"/>
        <w:spacing w:before="0" w:beforeAutospacing="0" w:after="0" w:afterAutospacing="0" w:line="360" w:lineRule="auto"/>
        <w:textAlignment w:val="baseline"/>
        <w:rPr>
          <w:rFonts w:asciiTheme="minorHAnsi" w:eastAsiaTheme="majorEastAsia" w:hAnsiTheme="minorHAnsi" w:cstheme="minorHAnsi"/>
        </w:rPr>
      </w:pPr>
      <w:r w:rsidRPr="00771E87">
        <w:rPr>
          <w:rStyle w:val="normaltextrun"/>
          <w:rFonts w:asciiTheme="minorHAnsi" w:eastAsiaTheme="majorEastAsia" w:hAnsiTheme="minorHAnsi" w:cstheme="minorHAnsi"/>
        </w:rPr>
        <w:t>Środki trwałe mogą być uznane za kwalifikowalne pod warunkiem ich wskazania we wniosku</w:t>
      </w:r>
      <w:r w:rsidR="005C1C27" w:rsidRPr="00771E87">
        <w:rPr>
          <w:rStyle w:val="normaltextrun"/>
          <w:rFonts w:asciiTheme="minorHAnsi" w:eastAsiaTheme="majorEastAsia" w:hAnsiTheme="minorHAnsi" w:cstheme="minorHAnsi"/>
        </w:rPr>
        <w:t xml:space="preserve"> </w:t>
      </w:r>
      <w:r w:rsidRPr="00771E87">
        <w:rPr>
          <w:rStyle w:val="normaltextrun"/>
          <w:rFonts w:asciiTheme="minorHAnsi" w:eastAsiaTheme="majorEastAsia" w:hAnsiTheme="minorHAnsi" w:cstheme="minorHAnsi"/>
        </w:rPr>
        <w:t>o</w:t>
      </w:r>
      <w:r w:rsidR="00F00B76">
        <w:rPr>
          <w:rStyle w:val="normaltextrun"/>
          <w:rFonts w:asciiTheme="minorHAnsi" w:eastAsiaTheme="majorEastAsia" w:hAnsiTheme="minorHAnsi" w:cstheme="minorHAnsi"/>
        </w:rPr>
        <w:t> </w:t>
      </w:r>
      <w:r w:rsidRPr="00771E87">
        <w:rPr>
          <w:rStyle w:val="normaltextrun"/>
          <w:rFonts w:asciiTheme="minorHAnsi" w:eastAsiaTheme="majorEastAsia" w:hAnsiTheme="minorHAnsi" w:cstheme="minorHAnsi"/>
        </w:rPr>
        <w:t>objęcie przedsięwzięcia MŚP wsparciem wraz z uzasadnieniem konieczności ich zakupu.</w:t>
      </w:r>
    </w:p>
    <w:p w14:paraId="1A6ECBAC" w14:textId="2C147ED5" w:rsidR="00C63D27" w:rsidRPr="00771E87" w:rsidRDefault="00C066F1" w:rsidP="00A579EE">
      <w:pPr>
        <w:keepLines/>
        <w:widowControl w:val="0"/>
        <w:spacing w:after="360" w:line="360" w:lineRule="auto"/>
        <w:rPr>
          <w:rFonts w:cstheme="minorHAnsi"/>
          <w:sz w:val="24"/>
          <w:szCs w:val="24"/>
        </w:rPr>
      </w:pPr>
      <w:r w:rsidRPr="00771E87">
        <w:rPr>
          <w:rFonts w:cstheme="minorHAnsi"/>
          <w:color w:val="000000" w:themeColor="text1"/>
          <w:sz w:val="24"/>
          <w:szCs w:val="24"/>
        </w:rPr>
        <w:t>W ramach te</w:t>
      </w:r>
      <w:r w:rsidR="003F743A" w:rsidRPr="00771E87">
        <w:rPr>
          <w:rFonts w:cstheme="minorHAnsi"/>
          <w:color w:val="000000" w:themeColor="text1"/>
          <w:sz w:val="24"/>
          <w:szCs w:val="24"/>
        </w:rPr>
        <w:t xml:space="preserve">go komponentu </w:t>
      </w:r>
      <w:r w:rsidRPr="00771E87">
        <w:rPr>
          <w:rFonts w:cstheme="minorHAnsi"/>
          <w:color w:val="000000" w:themeColor="text1"/>
          <w:sz w:val="24"/>
          <w:szCs w:val="24"/>
        </w:rPr>
        <w:t xml:space="preserve">kwalifikowalne są koszty nabycia </w:t>
      </w:r>
      <w:r w:rsidR="00A86811" w:rsidRPr="00771E87">
        <w:rPr>
          <w:rFonts w:cstheme="minorHAnsi"/>
          <w:color w:val="000000" w:themeColor="text1"/>
          <w:sz w:val="24"/>
          <w:szCs w:val="24"/>
        </w:rPr>
        <w:t xml:space="preserve">nowych </w:t>
      </w:r>
      <w:r w:rsidRPr="00771E87">
        <w:rPr>
          <w:rFonts w:cstheme="minorHAnsi"/>
          <w:color w:val="000000" w:themeColor="text1"/>
          <w:sz w:val="24"/>
          <w:szCs w:val="24"/>
        </w:rPr>
        <w:t>środków trwałych innych niż</w:t>
      </w:r>
      <w:r w:rsidR="00B56B93" w:rsidRPr="00771E87">
        <w:rPr>
          <w:rFonts w:cstheme="minorHAnsi"/>
          <w:color w:val="000000" w:themeColor="text1"/>
          <w:sz w:val="24"/>
          <w:szCs w:val="24"/>
        </w:rPr>
        <w:t xml:space="preserve"> </w:t>
      </w:r>
      <w:r w:rsidRPr="00771E87">
        <w:rPr>
          <w:rFonts w:cstheme="minorHAnsi"/>
          <w:color w:val="000000" w:themeColor="text1"/>
          <w:sz w:val="24"/>
          <w:szCs w:val="24"/>
        </w:rPr>
        <w:t>nieruchomości</w:t>
      </w:r>
      <w:r w:rsidR="00641EED">
        <w:rPr>
          <w:rFonts w:cstheme="minorHAnsi"/>
          <w:color w:val="000000" w:themeColor="text1"/>
          <w:sz w:val="24"/>
          <w:szCs w:val="24"/>
        </w:rPr>
        <w:t xml:space="preserve"> oraz pojazdy samochodowe</w:t>
      </w:r>
      <w:r w:rsidRPr="00771E87">
        <w:rPr>
          <w:rFonts w:cstheme="minorHAnsi"/>
          <w:color w:val="000000" w:themeColor="text1"/>
          <w:sz w:val="24"/>
          <w:szCs w:val="24"/>
        </w:rPr>
        <w:t xml:space="preserve"> w tym </w:t>
      </w:r>
      <w:r w:rsidR="00B65659" w:rsidRPr="00771E87">
        <w:rPr>
          <w:rFonts w:cstheme="minorHAnsi"/>
          <w:color w:val="000000" w:themeColor="text1"/>
          <w:sz w:val="24"/>
          <w:szCs w:val="24"/>
        </w:rPr>
        <w:t>zakup maszyn i urządzeń związanych z</w:t>
      </w:r>
      <w:r w:rsidR="00F00B76">
        <w:rPr>
          <w:rFonts w:cstheme="minorHAnsi"/>
          <w:color w:val="000000" w:themeColor="text1"/>
          <w:sz w:val="24"/>
          <w:szCs w:val="24"/>
        </w:rPr>
        <w:t> </w:t>
      </w:r>
      <w:r w:rsidR="00B65659" w:rsidRPr="00771E87">
        <w:rPr>
          <w:rFonts w:cstheme="minorHAnsi"/>
          <w:color w:val="000000" w:themeColor="text1"/>
          <w:sz w:val="24"/>
          <w:szCs w:val="24"/>
        </w:rPr>
        <w:t xml:space="preserve">rozszerzeniem lub </w:t>
      </w:r>
      <w:r w:rsidR="4B6FE86C" w:rsidRPr="00771E87">
        <w:rPr>
          <w:rFonts w:cstheme="minorHAnsi"/>
          <w:color w:val="000000" w:themeColor="text1"/>
          <w:sz w:val="24"/>
          <w:szCs w:val="24"/>
        </w:rPr>
        <w:t>dywersyfikacją</w:t>
      </w:r>
      <w:r w:rsidR="00B65659" w:rsidRPr="00771E87">
        <w:rPr>
          <w:rFonts w:cstheme="minorHAnsi"/>
          <w:color w:val="000000" w:themeColor="text1"/>
          <w:sz w:val="24"/>
          <w:szCs w:val="24"/>
        </w:rPr>
        <w:t xml:space="preserve"> działalności oraz </w:t>
      </w:r>
      <w:r w:rsidRPr="00771E87">
        <w:rPr>
          <w:rFonts w:cstheme="minorHAnsi"/>
          <w:color w:val="000000" w:themeColor="text1"/>
          <w:sz w:val="24"/>
          <w:szCs w:val="24"/>
        </w:rPr>
        <w:t>koszty instalacji i uruchomienia środków trwałych</w:t>
      </w:r>
      <w:r w:rsidR="00474A31" w:rsidRPr="00771E87">
        <w:rPr>
          <w:rFonts w:cstheme="minorHAnsi"/>
          <w:color w:val="000000" w:themeColor="text1"/>
          <w:sz w:val="24"/>
          <w:szCs w:val="24"/>
        </w:rPr>
        <w:t>.</w:t>
      </w:r>
      <w:r w:rsidR="00344B2E" w:rsidRPr="00771E87">
        <w:rPr>
          <w:rFonts w:cstheme="minorHAnsi"/>
          <w:color w:val="000000" w:themeColor="text1"/>
          <w:sz w:val="24"/>
          <w:szCs w:val="24"/>
        </w:rPr>
        <w:t xml:space="preserve"> </w:t>
      </w:r>
      <w:r w:rsidR="000E3DD9" w:rsidRPr="00771E87">
        <w:rPr>
          <w:rFonts w:cstheme="minorHAnsi"/>
          <w:color w:val="000000" w:themeColor="text1"/>
          <w:sz w:val="24"/>
          <w:szCs w:val="24"/>
        </w:rPr>
        <w:t xml:space="preserve">Koszty te </w:t>
      </w:r>
      <w:r w:rsidR="00344B2E" w:rsidRPr="00771E87">
        <w:rPr>
          <w:rFonts w:cstheme="minorHAnsi"/>
          <w:color w:val="000000" w:themeColor="text1"/>
          <w:sz w:val="24"/>
          <w:szCs w:val="24"/>
        </w:rPr>
        <w:t>musz</w:t>
      </w:r>
      <w:r w:rsidR="000E3DD9" w:rsidRPr="00771E87">
        <w:rPr>
          <w:rFonts w:cstheme="minorHAnsi"/>
          <w:color w:val="000000" w:themeColor="text1"/>
          <w:sz w:val="24"/>
          <w:szCs w:val="24"/>
        </w:rPr>
        <w:t>ą</w:t>
      </w:r>
      <w:r w:rsidR="00344B2E" w:rsidRPr="00771E87">
        <w:rPr>
          <w:rFonts w:cstheme="minorHAnsi"/>
          <w:color w:val="000000" w:themeColor="text1"/>
          <w:sz w:val="24"/>
          <w:szCs w:val="24"/>
        </w:rPr>
        <w:t xml:space="preserve"> być bezpośrednio powiązane z realizacj</w:t>
      </w:r>
      <w:r w:rsidR="004B0EFE" w:rsidRPr="00771E87">
        <w:rPr>
          <w:rFonts w:cstheme="minorHAnsi"/>
          <w:color w:val="000000" w:themeColor="text1"/>
          <w:sz w:val="24"/>
          <w:szCs w:val="24"/>
        </w:rPr>
        <w:t>ą</w:t>
      </w:r>
      <w:r w:rsidR="00344B2E" w:rsidRPr="00771E87">
        <w:rPr>
          <w:rFonts w:cstheme="minorHAnsi"/>
          <w:color w:val="000000" w:themeColor="text1"/>
          <w:sz w:val="24"/>
          <w:szCs w:val="24"/>
        </w:rPr>
        <w:t xml:space="preserve"> </w:t>
      </w:r>
      <w:r w:rsidR="001B2F3A" w:rsidRPr="00771E87">
        <w:rPr>
          <w:rFonts w:cstheme="minorHAnsi"/>
          <w:color w:val="000000" w:themeColor="text1"/>
          <w:sz w:val="24"/>
          <w:szCs w:val="24"/>
        </w:rPr>
        <w:t>przedsięwzięcia MŚP</w:t>
      </w:r>
      <w:r w:rsidR="00D66367" w:rsidRPr="00771E87">
        <w:rPr>
          <w:rFonts w:cstheme="minorHAnsi"/>
          <w:color w:val="000000" w:themeColor="text1"/>
          <w:sz w:val="24"/>
          <w:szCs w:val="24"/>
        </w:rPr>
        <w:t>, muszą</w:t>
      </w:r>
      <w:r w:rsidR="00D66367" w:rsidRPr="00771E87">
        <w:rPr>
          <w:rFonts w:cstheme="minorHAnsi"/>
          <w:sz w:val="24"/>
          <w:szCs w:val="24"/>
        </w:rPr>
        <w:t xml:space="preserve"> uwzględniać odpowiednie uzasadnienie konieczności pozyskania tego środka trwałego</w:t>
      </w:r>
      <w:r w:rsidR="00D66367" w:rsidRPr="00771E87">
        <w:rPr>
          <w:rFonts w:cstheme="minorHAnsi"/>
          <w:color w:val="000000" w:themeColor="text1"/>
          <w:sz w:val="24"/>
          <w:szCs w:val="24"/>
        </w:rPr>
        <w:t xml:space="preserve"> </w:t>
      </w:r>
      <w:r w:rsidR="00CC60F2" w:rsidRPr="00771E87">
        <w:rPr>
          <w:rFonts w:cstheme="minorHAnsi"/>
          <w:color w:val="000000" w:themeColor="text1"/>
          <w:sz w:val="24"/>
          <w:szCs w:val="24"/>
        </w:rPr>
        <w:t>i mają</w:t>
      </w:r>
      <w:r w:rsidR="00CC60F2" w:rsidRPr="00771E87">
        <w:rPr>
          <w:rFonts w:cstheme="minorHAnsi"/>
          <w:sz w:val="24"/>
          <w:szCs w:val="24"/>
        </w:rPr>
        <w:t xml:space="preserve"> tworzyć podstawę</w:t>
      </w:r>
      <w:r w:rsidR="00684BB3" w:rsidRPr="00771E87">
        <w:rPr>
          <w:rFonts w:cstheme="minorHAnsi"/>
          <w:sz w:val="24"/>
          <w:szCs w:val="24"/>
        </w:rPr>
        <w:t xml:space="preserve"> </w:t>
      </w:r>
      <w:r w:rsidR="00CC60F2" w:rsidRPr="00771E87">
        <w:rPr>
          <w:rFonts w:cstheme="minorHAnsi"/>
          <w:sz w:val="24"/>
          <w:szCs w:val="24"/>
        </w:rPr>
        <w:t>dla wzmocnienia odporności przedsiębiorstwa na potencjalne przyszłe kryzysy.</w:t>
      </w:r>
    </w:p>
    <w:p w14:paraId="4DA72534" w14:textId="3B56E584" w:rsidR="0BFCB64C" w:rsidRPr="00771E87" w:rsidRDefault="7A439B6B" w:rsidP="00A579EE">
      <w:pPr>
        <w:keepLines/>
        <w:widowControl w:val="0"/>
        <w:spacing w:after="360" w:line="360" w:lineRule="auto"/>
        <w:rPr>
          <w:rFonts w:cstheme="minorHAnsi"/>
          <w:sz w:val="24"/>
          <w:szCs w:val="24"/>
        </w:rPr>
      </w:pPr>
      <w:r w:rsidRPr="00771E87">
        <w:rPr>
          <w:rFonts w:cstheme="minorHAnsi"/>
          <w:sz w:val="24"/>
          <w:szCs w:val="24"/>
        </w:rPr>
        <w:t xml:space="preserve">Do tej kategorii </w:t>
      </w:r>
      <w:r w:rsidR="0C4121B5" w:rsidRPr="00771E87">
        <w:rPr>
          <w:rFonts w:cstheme="minorHAnsi"/>
          <w:sz w:val="24"/>
          <w:szCs w:val="24"/>
        </w:rPr>
        <w:t xml:space="preserve">wydatków </w:t>
      </w:r>
      <w:r w:rsidRPr="00771E87">
        <w:rPr>
          <w:rFonts w:cstheme="minorHAnsi"/>
          <w:sz w:val="24"/>
          <w:szCs w:val="24"/>
        </w:rPr>
        <w:t xml:space="preserve">zaliczyć należy </w:t>
      </w:r>
      <w:r w:rsidR="28550E14" w:rsidRPr="00771E87">
        <w:rPr>
          <w:rFonts w:cstheme="minorHAnsi"/>
          <w:sz w:val="24"/>
          <w:szCs w:val="24"/>
        </w:rPr>
        <w:t xml:space="preserve">również </w:t>
      </w:r>
      <w:r w:rsidR="42A52A27" w:rsidRPr="00771E87">
        <w:rPr>
          <w:rFonts w:cstheme="minorHAnsi"/>
          <w:sz w:val="24"/>
          <w:szCs w:val="24"/>
        </w:rPr>
        <w:t xml:space="preserve">koszty zakupu </w:t>
      </w:r>
      <w:r w:rsidR="0C389D98" w:rsidRPr="00771E87">
        <w:rPr>
          <w:rFonts w:cstheme="minorHAnsi"/>
          <w:sz w:val="24"/>
          <w:szCs w:val="24"/>
        </w:rPr>
        <w:t xml:space="preserve">i montażu </w:t>
      </w:r>
      <w:r w:rsidR="42A52A27" w:rsidRPr="00771E87">
        <w:rPr>
          <w:rFonts w:cstheme="minorHAnsi"/>
          <w:sz w:val="24"/>
          <w:szCs w:val="24"/>
        </w:rPr>
        <w:t>maszyn i urządzeń wchodzących w skład nowych linii produkcyjnych</w:t>
      </w:r>
      <w:r w:rsidR="6994FA4A" w:rsidRPr="00771E87">
        <w:rPr>
          <w:rFonts w:cstheme="minorHAnsi"/>
          <w:sz w:val="24"/>
          <w:szCs w:val="24"/>
        </w:rPr>
        <w:t>, niezbędnych do wprowadzenia na rynek nowych produktów/usług.</w:t>
      </w:r>
    </w:p>
    <w:p w14:paraId="74AB565F" w14:textId="2A56B16C" w:rsidR="00A579EE" w:rsidRPr="00771E87" w:rsidRDefault="6E88E603" w:rsidP="00A579EE">
      <w:pPr>
        <w:spacing w:after="0" w:line="360" w:lineRule="auto"/>
        <w:rPr>
          <w:rFonts w:eastAsia="Calibri" w:cstheme="minorHAnsi"/>
          <w:sz w:val="24"/>
          <w:szCs w:val="24"/>
        </w:rPr>
      </w:pPr>
      <w:r w:rsidRPr="00BF1BCA">
        <w:rPr>
          <w:rFonts w:eastAsia="Calibri" w:cstheme="minorHAnsi"/>
          <w:sz w:val="24"/>
          <w:szCs w:val="24"/>
        </w:rPr>
        <w:t>W ramach środków trwałych kwalifikowalny jest zakup sprzętu turystycznego i rekreacyjnego, takiego jak</w:t>
      </w:r>
      <w:r w:rsidR="00020AD9">
        <w:rPr>
          <w:rFonts w:eastAsia="Calibri" w:cstheme="minorHAnsi"/>
          <w:sz w:val="24"/>
          <w:szCs w:val="24"/>
        </w:rPr>
        <w:t xml:space="preserve"> (wyliczenie przykładowe, katalog nie jest zamknięty)</w:t>
      </w:r>
      <w:r w:rsidRPr="00BF1BCA">
        <w:rPr>
          <w:rFonts w:eastAsia="Calibri" w:cstheme="minorHAnsi"/>
          <w:sz w:val="24"/>
          <w:szCs w:val="24"/>
        </w:rPr>
        <w:t xml:space="preserve">: kajak, rower wodny, hulajnoga, </w:t>
      </w:r>
      <w:r w:rsidR="0079446D">
        <w:rPr>
          <w:rFonts w:eastAsia="Calibri" w:cstheme="minorHAnsi"/>
          <w:sz w:val="24"/>
          <w:szCs w:val="24"/>
        </w:rPr>
        <w:t xml:space="preserve">itp. spełniające definicję sprzętu turystycznego i rekreacyjnego, </w:t>
      </w:r>
      <w:proofErr w:type="spellStart"/>
      <w:r w:rsidRPr="00BF1BCA">
        <w:rPr>
          <w:rFonts w:eastAsia="Calibri" w:cstheme="minorHAnsi"/>
          <w:sz w:val="24"/>
          <w:szCs w:val="24"/>
        </w:rPr>
        <w:t>bezemisyjny</w:t>
      </w:r>
      <w:proofErr w:type="spellEnd"/>
      <w:r w:rsidR="00FB5ADD">
        <w:rPr>
          <w:rFonts w:eastAsia="Calibri" w:cstheme="minorHAnsi"/>
          <w:sz w:val="24"/>
          <w:szCs w:val="24"/>
        </w:rPr>
        <w:t xml:space="preserve">, w tym </w:t>
      </w:r>
      <w:r w:rsidRPr="00BF1BCA">
        <w:rPr>
          <w:rFonts w:eastAsia="Calibri" w:cstheme="minorHAnsi"/>
          <w:sz w:val="24"/>
          <w:szCs w:val="24"/>
        </w:rPr>
        <w:t>napędzany siłą mięśni i spełniający warunki wynikające z zasady DNSH, o której mowa w pkt. 2.9 Przewodnika.</w:t>
      </w:r>
    </w:p>
    <w:p w14:paraId="4A04F937" w14:textId="77777777" w:rsidR="00A579EE" w:rsidRPr="00771E87" w:rsidRDefault="00A579EE">
      <w:pPr>
        <w:rPr>
          <w:rFonts w:eastAsia="Calibri" w:cstheme="minorHAnsi"/>
          <w:sz w:val="24"/>
          <w:szCs w:val="24"/>
        </w:rPr>
      </w:pPr>
      <w:r w:rsidRPr="00771E87">
        <w:rPr>
          <w:rFonts w:eastAsia="Calibri" w:cstheme="minorHAnsi"/>
          <w:sz w:val="24"/>
          <w:szCs w:val="24"/>
        </w:rPr>
        <w:br w:type="page"/>
      </w:r>
    </w:p>
    <w:p w14:paraId="324CF595" w14:textId="65F4D858" w:rsidR="00C36B3E" w:rsidRPr="00771E87" w:rsidRDefault="00340C1A" w:rsidP="00E57A4B">
      <w:pPr>
        <w:pStyle w:val="NCBR2Nagowek"/>
        <w:spacing w:after="360"/>
        <w:rPr>
          <w:rStyle w:val="normaltextrun"/>
          <w:rFonts w:asciiTheme="minorHAnsi" w:hAnsiTheme="minorHAnsi" w:cstheme="minorHAnsi"/>
          <w:bCs/>
          <w:sz w:val="24"/>
          <w:szCs w:val="24"/>
          <w:shd w:val="clear" w:color="auto" w:fill="FFFFFF"/>
        </w:rPr>
      </w:pPr>
      <w:bookmarkStart w:id="47" w:name="_Toc162526823"/>
      <w:r w:rsidRPr="00771E87">
        <w:rPr>
          <w:rStyle w:val="normaltextrun"/>
          <w:rFonts w:asciiTheme="minorHAnsi" w:hAnsiTheme="minorHAnsi" w:cstheme="minorHAnsi"/>
          <w:bCs/>
          <w:sz w:val="24"/>
          <w:szCs w:val="24"/>
          <w:shd w:val="clear" w:color="auto" w:fill="FFFFFF"/>
        </w:rPr>
        <w:lastRenderedPageBreak/>
        <w:t>4.2 Środki transportu</w:t>
      </w:r>
      <w:bookmarkEnd w:id="47"/>
      <w:r w:rsidR="00796D32" w:rsidRPr="00771E87">
        <w:rPr>
          <w:rStyle w:val="normaltextrun"/>
          <w:rFonts w:asciiTheme="minorHAnsi" w:hAnsiTheme="minorHAnsi" w:cstheme="minorHAnsi"/>
          <w:bCs/>
          <w:sz w:val="24"/>
          <w:szCs w:val="24"/>
          <w:shd w:val="clear" w:color="auto" w:fill="FFFFFF"/>
        </w:rPr>
        <w:t xml:space="preserve"> – pojazdy samochodowe</w:t>
      </w:r>
    </w:p>
    <w:p w14:paraId="3887C2F8" w14:textId="300BA206" w:rsidR="003A78A8" w:rsidRPr="00771E87" w:rsidRDefault="5BB36898" w:rsidP="00A579EE">
      <w:pPr>
        <w:keepLines/>
        <w:widowControl w:val="0"/>
        <w:spacing w:after="360" w:line="360" w:lineRule="auto"/>
        <w:rPr>
          <w:rFonts w:cstheme="minorHAnsi"/>
          <w:sz w:val="24"/>
          <w:szCs w:val="24"/>
          <w:shd w:val="clear" w:color="auto" w:fill="FFFFFF"/>
        </w:rPr>
      </w:pPr>
      <w:r w:rsidRPr="00771E87">
        <w:rPr>
          <w:rStyle w:val="normaltextrun"/>
          <w:rFonts w:cstheme="minorHAnsi"/>
          <w:sz w:val="24"/>
          <w:szCs w:val="24"/>
          <w:shd w:val="clear" w:color="auto" w:fill="FFFFFF"/>
        </w:rPr>
        <w:t xml:space="preserve">Za </w:t>
      </w:r>
      <w:r w:rsidR="00771E87" w:rsidRPr="00771E87">
        <w:rPr>
          <w:rStyle w:val="normaltextrun"/>
          <w:rFonts w:cstheme="minorHAnsi"/>
          <w:sz w:val="24"/>
          <w:szCs w:val="24"/>
          <w:shd w:val="clear" w:color="auto" w:fill="FFFFFF"/>
        </w:rPr>
        <w:t>wydatki</w:t>
      </w:r>
      <w:r w:rsidRPr="00771E87">
        <w:rPr>
          <w:rStyle w:val="normaltextrun"/>
          <w:rFonts w:cstheme="minorHAnsi"/>
          <w:sz w:val="24"/>
          <w:szCs w:val="24"/>
          <w:shd w:val="clear" w:color="auto" w:fill="FFFFFF"/>
        </w:rPr>
        <w:t xml:space="preserve"> kwalifikowaln</w:t>
      </w:r>
      <w:r w:rsidR="003A78A8" w:rsidRPr="00771E87">
        <w:rPr>
          <w:rStyle w:val="normaltextrun"/>
          <w:rFonts w:cstheme="minorHAnsi"/>
          <w:sz w:val="24"/>
          <w:szCs w:val="24"/>
          <w:shd w:val="clear" w:color="auto" w:fill="FFFFFF"/>
        </w:rPr>
        <w:t>e</w:t>
      </w:r>
      <w:r w:rsidRPr="00771E87">
        <w:rPr>
          <w:rStyle w:val="normaltextrun"/>
          <w:rFonts w:cstheme="minorHAnsi"/>
          <w:sz w:val="24"/>
          <w:szCs w:val="24"/>
          <w:shd w:val="clear" w:color="auto" w:fill="FFFFFF"/>
        </w:rPr>
        <w:t xml:space="preserve"> </w:t>
      </w:r>
      <w:r w:rsidR="38D28918" w:rsidRPr="00771E87">
        <w:rPr>
          <w:rStyle w:val="normaltextrun"/>
          <w:rFonts w:cstheme="minorHAnsi"/>
          <w:sz w:val="24"/>
          <w:szCs w:val="24"/>
          <w:shd w:val="clear" w:color="auto" w:fill="FFFFFF"/>
        </w:rPr>
        <w:t>uznaje się</w:t>
      </w:r>
      <w:r w:rsidR="00796D32" w:rsidRPr="00771E87">
        <w:rPr>
          <w:rStyle w:val="normaltextrun"/>
          <w:rFonts w:cstheme="minorHAnsi"/>
          <w:sz w:val="24"/>
          <w:szCs w:val="24"/>
          <w:shd w:val="clear" w:color="auto" w:fill="FFFFFF"/>
        </w:rPr>
        <w:t xml:space="preserve"> wyłącznie </w:t>
      </w:r>
      <w:r w:rsidR="001445EC" w:rsidRPr="00771E87">
        <w:rPr>
          <w:rStyle w:val="normaltextrun"/>
          <w:rFonts w:cstheme="minorHAnsi"/>
          <w:sz w:val="24"/>
          <w:szCs w:val="24"/>
          <w:shd w:val="clear" w:color="auto" w:fill="FFFFFF"/>
        </w:rPr>
        <w:t xml:space="preserve">odpisy </w:t>
      </w:r>
      <w:r w:rsidR="00C05F40">
        <w:rPr>
          <w:rStyle w:val="normaltextrun"/>
          <w:rFonts w:cstheme="minorHAnsi"/>
          <w:sz w:val="24"/>
          <w:szCs w:val="24"/>
          <w:shd w:val="clear" w:color="auto" w:fill="FFFFFF"/>
        </w:rPr>
        <w:t>amortyzacyjne</w:t>
      </w:r>
      <w:r w:rsidR="00796D32" w:rsidRPr="00771E87">
        <w:rPr>
          <w:rStyle w:val="normaltextrun"/>
          <w:rFonts w:cstheme="minorHAnsi"/>
          <w:sz w:val="24"/>
          <w:szCs w:val="24"/>
          <w:shd w:val="clear" w:color="auto" w:fill="FFFFFF"/>
        </w:rPr>
        <w:t xml:space="preserve"> </w:t>
      </w:r>
      <w:r w:rsidRPr="00771E87">
        <w:rPr>
          <w:rStyle w:val="normaltextrun"/>
          <w:rFonts w:cstheme="minorHAnsi"/>
          <w:sz w:val="24"/>
          <w:szCs w:val="24"/>
          <w:shd w:val="clear" w:color="auto" w:fill="FFFFFF"/>
        </w:rPr>
        <w:t xml:space="preserve"> </w:t>
      </w:r>
      <w:r w:rsidRPr="00F00B76">
        <w:rPr>
          <w:rStyle w:val="normaltextrun"/>
          <w:rFonts w:cstheme="minorHAnsi"/>
          <w:sz w:val="24"/>
          <w:szCs w:val="24"/>
          <w:shd w:val="clear" w:color="auto" w:fill="FFFFFF"/>
        </w:rPr>
        <w:t>nowych</w:t>
      </w:r>
      <w:r w:rsidR="49B630DB" w:rsidRPr="00F00B76">
        <w:rPr>
          <w:rStyle w:val="normaltextrun"/>
          <w:rFonts w:cstheme="minorHAnsi"/>
          <w:sz w:val="24"/>
          <w:szCs w:val="24"/>
          <w:shd w:val="clear" w:color="auto" w:fill="FFFFFF"/>
        </w:rPr>
        <w:t xml:space="preserve"> </w:t>
      </w:r>
      <w:proofErr w:type="spellStart"/>
      <w:r w:rsidR="49B630DB" w:rsidRPr="00F00B76">
        <w:rPr>
          <w:rStyle w:val="normaltextrun"/>
          <w:rFonts w:cstheme="minorHAnsi"/>
          <w:sz w:val="24"/>
          <w:szCs w:val="24"/>
          <w:shd w:val="clear" w:color="auto" w:fill="FFFFFF"/>
        </w:rPr>
        <w:t>bezemisyjnych</w:t>
      </w:r>
      <w:proofErr w:type="spellEnd"/>
      <w:r w:rsidRPr="00F00B76">
        <w:rPr>
          <w:rStyle w:val="normaltextrun"/>
          <w:rFonts w:cstheme="minorHAnsi"/>
          <w:sz w:val="24"/>
          <w:szCs w:val="24"/>
          <w:shd w:val="clear" w:color="auto" w:fill="FFFFFF"/>
        </w:rPr>
        <w:t xml:space="preserve"> </w:t>
      </w:r>
      <w:r w:rsidR="00796D32" w:rsidRPr="00F00B76">
        <w:rPr>
          <w:rStyle w:val="normaltextrun"/>
          <w:rFonts w:cstheme="minorHAnsi"/>
          <w:sz w:val="24"/>
          <w:szCs w:val="24"/>
          <w:shd w:val="clear" w:color="auto" w:fill="FFFFFF"/>
        </w:rPr>
        <w:t>pojazdów</w:t>
      </w:r>
      <w:r w:rsidR="001445EC" w:rsidRPr="00F00B76">
        <w:rPr>
          <w:rStyle w:val="normaltextrun"/>
          <w:rFonts w:cstheme="minorHAnsi"/>
          <w:sz w:val="24"/>
          <w:szCs w:val="24"/>
          <w:shd w:val="clear" w:color="auto" w:fill="FFFFFF"/>
        </w:rPr>
        <w:t>,</w:t>
      </w:r>
      <w:r w:rsidR="004F4AEE" w:rsidRPr="00F00B76">
        <w:rPr>
          <w:rStyle w:val="normaltextrun"/>
          <w:rFonts w:cstheme="minorHAnsi"/>
          <w:sz w:val="24"/>
          <w:szCs w:val="24"/>
          <w:shd w:val="clear" w:color="auto" w:fill="FFFFFF"/>
        </w:rPr>
        <w:t xml:space="preserve"> o których mowa w art. 2 pkt. 102g </w:t>
      </w:r>
      <w:r w:rsidR="003A78A8" w:rsidRPr="00F00B76">
        <w:rPr>
          <w:rStyle w:val="normaltextrun"/>
          <w:rFonts w:cstheme="minorHAnsi"/>
          <w:sz w:val="24"/>
          <w:szCs w:val="24"/>
          <w:shd w:val="clear" w:color="auto" w:fill="FFFFFF"/>
        </w:rPr>
        <w:t xml:space="preserve"> </w:t>
      </w:r>
      <w:r w:rsidR="004F4AEE" w:rsidRPr="00F00B76">
        <w:rPr>
          <w:rStyle w:val="normaltextrun"/>
          <w:rFonts w:cstheme="minorHAnsi"/>
          <w:sz w:val="24"/>
          <w:szCs w:val="24"/>
          <w:shd w:val="clear" w:color="auto" w:fill="FFFFFF"/>
        </w:rPr>
        <w:t xml:space="preserve">rozporządzenia Komisji (UE) nr 651/2014 z dnia 17 czerwca 2014 r. uznające niektóre rodzaje pomocy za zgodne z rynkiem wewnętrznym w zastosowaniu art. 107 i 108 Traktatu (tzw. GBER) </w:t>
      </w:r>
      <w:r w:rsidRPr="00F00B76">
        <w:rPr>
          <w:rStyle w:val="normaltextrun"/>
          <w:rFonts w:cstheme="minorHAnsi"/>
          <w:sz w:val="24"/>
          <w:szCs w:val="24"/>
          <w:shd w:val="clear" w:color="auto" w:fill="FFFFFF"/>
        </w:rPr>
        <w:t>niezbędnych do prowadzenia działalności</w:t>
      </w:r>
      <w:r w:rsidRPr="00771E87">
        <w:rPr>
          <w:rStyle w:val="normaltextrun"/>
          <w:rFonts w:cstheme="minorHAnsi"/>
          <w:sz w:val="24"/>
          <w:szCs w:val="24"/>
          <w:shd w:val="clear" w:color="auto" w:fill="FFFFFF"/>
        </w:rPr>
        <w:t xml:space="preserve">, która została rozszerzona lub </w:t>
      </w:r>
      <w:r w:rsidR="002D04A2" w:rsidRPr="00771E87">
        <w:rPr>
          <w:rStyle w:val="normaltextrun"/>
          <w:rFonts w:cstheme="minorHAnsi"/>
          <w:sz w:val="24"/>
          <w:szCs w:val="24"/>
          <w:shd w:val="clear" w:color="auto" w:fill="FFFFFF"/>
        </w:rPr>
        <w:t>zdywersyfikowana</w:t>
      </w:r>
      <w:r w:rsidR="00EC247F">
        <w:rPr>
          <w:rStyle w:val="normaltextrun"/>
          <w:rFonts w:cstheme="minorHAnsi"/>
          <w:sz w:val="24"/>
          <w:szCs w:val="24"/>
          <w:shd w:val="clear" w:color="auto" w:fill="FFFFFF"/>
        </w:rPr>
        <w:t>,</w:t>
      </w:r>
      <w:r w:rsidR="002D04A2" w:rsidRPr="00771E87">
        <w:rPr>
          <w:rStyle w:val="normaltextrun"/>
          <w:rFonts w:cstheme="minorHAnsi"/>
          <w:sz w:val="24"/>
          <w:szCs w:val="24"/>
          <w:shd w:val="clear" w:color="auto" w:fill="FFFFFF"/>
        </w:rPr>
        <w:t xml:space="preserve"> </w:t>
      </w:r>
      <w:r w:rsidR="00796D32" w:rsidRPr="00771E87">
        <w:rPr>
          <w:rFonts w:cstheme="minorHAnsi"/>
          <w:sz w:val="24"/>
          <w:szCs w:val="24"/>
          <w:shd w:val="clear" w:color="auto" w:fill="FFFFFF"/>
        </w:rPr>
        <w:t xml:space="preserve">za okres, w którym </w:t>
      </w:r>
      <w:r w:rsidR="00EC247F">
        <w:rPr>
          <w:rFonts w:cstheme="minorHAnsi"/>
          <w:sz w:val="24"/>
          <w:szCs w:val="24"/>
          <w:shd w:val="clear" w:color="auto" w:fill="FFFFFF"/>
        </w:rPr>
        <w:t>będą</w:t>
      </w:r>
      <w:r w:rsidR="00796D32" w:rsidRPr="00771E87">
        <w:rPr>
          <w:rFonts w:cstheme="minorHAnsi"/>
          <w:sz w:val="24"/>
          <w:szCs w:val="24"/>
          <w:shd w:val="clear" w:color="auto" w:fill="FFFFFF"/>
        </w:rPr>
        <w:t xml:space="preserve"> one wykorzystane na rzecz przedsięwzięcia MŚP.</w:t>
      </w:r>
      <w:r w:rsidR="004F4AEE">
        <w:rPr>
          <w:rStyle w:val="Odwoanieprzypisudolnego"/>
          <w:rFonts w:cstheme="minorHAnsi"/>
          <w:sz w:val="24"/>
          <w:szCs w:val="24"/>
          <w:shd w:val="clear" w:color="auto" w:fill="FFFFFF"/>
        </w:rPr>
        <w:footnoteReference w:id="7"/>
      </w:r>
      <w:r w:rsidR="00796D32" w:rsidRPr="00771E87">
        <w:rPr>
          <w:rFonts w:cstheme="minorHAnsi"/>
          <w:sz w:val="24"/>
          <w:szCs w:val="24"/>
          <w:shd w:val="clear" w:color="auto" w:fill="FFFFFF"/>
        </w:rPr>
        <w:t xml:space="preserve"> </w:t>
      </w:r>
    </w:p>
    <w:p w14:paraId="1F7D78DB" w14:textId="7EFCD908" w:rsidR="00984AA6" w:rsidRPr="00771E87" w:rsidRDefault="003A78A8" w:rsidP="00A579EE">
      <w:pPr>
        <w:keepLines/>
        <w:widowControl w:val="0"/>
        <w:spacing w:after="360" w:line="360" w:lineRule="auto"/>
        <w:rPr>
          <w:rFonts w:cstheme="minorHAnsi"/>
          <w:sz w:val="24"/>
          <w:szCs w:val="24"/>
        </w:rPr>
      </w:pPr>
      <w:r w:rsidRPr="00771E87">
        <w:rPr>
          <w:rStyle w:val="normaltextrun"/>
          <w:rFonts w:cstheme="minorHAnsi"/>
          <w:sz w:val="24"/>
          <w:szCs w:val="24"/>
          <w:shd w:val="clear" w:color="auto" w:fill="FFFFFF"/>
        </w:rPr>
        <w:t>Nie będą kwalifikowalne</w:t>
      </w:r>
      <w:r w:rsidR="5BB36898" w:rsidRPr="00771E87">
        <w:rPr>
          <w:rStyle w:val="normaltextrun"/>
          <w:rFonts w:cstheme="minorHAnsi"/>
          <w:sz w:val="24"/>
          <w:szCs w:val="24"/>
          <w:shd w:val="clear" w:color="auto" w:fill="FFFFFF"/>
        </w:rPr>
        <w:t xml:space="preserve"> zakup</w:t>
      </w:r>
      <w:r w:rsidRPr="00771E87">
        <w:rPr>
          <w:rStyle w:val="normaltextrun"/>
          <w:rFonts w:cstheme="minorHAnsi"/>
          <w:sz w:val="24"/>
          <w:szCs w:val="24"/>
          <w:shd w:val="clear" w:color="auto" w:fill="FFFFFF"/>
        </w:rPr>
        <w:t>y</w:t>
      </w:r>
      <w:r w:rsidR="5BB36898" w:rsidRPr="00771E87">
        <w:rPr>
          <w:rStyle w:val="normaltextrun"/>
          <w:rFonts w:cstheme="minorHAnsi"/>
          <w:sz w:val="24"/>
          <w:szCs w:val="24"/>
          <w:shd w:val="clear" w:color="auto" w:fill="FFFFFF"/>
        </w:rPr>
        <w:t xml:space="preserve"> samochodów osobowych mających więcej niż jeden rząd siedzeń, w których rząd siedzeń nie jest oddzielony od części przeznaczonej do przewozu ładunków ścianą lub trwałą przegrodą zamontowaną przez producenta pojazdu.</w:t>
      </w:r>
    </w:p>
    <w:p w14:paraId="15EA4EE5" w14:textId="5F0FB0E0" w:rsidR="007A7C18" w:rsidRPr="00771E87" w:rsidRDefault="00B77C92" w:rsidP="00BF1BCA">
      <w:pPr>
        <w:pBdr>
          <w:top w:val="single" w:sz="4" w:space="1" w:color="auto"/>
          <w:left w:val="single" w:sz="4" w:space="4" w:color="auto"/>
          <w:bottom w:val="single" w:sz="4" w:space="1" w:color="auto"/>
          <w:right w:val="single" w:sz="4" w:space="4" w:color="auto"/>
        </w:pBdr>
        <w:spacing w:after="480" w:line="360" w:lineRule="auto"/>
        <w:rPr>
          <w:rFonts w:cstheme="minorHAnsi"/>
          <w:sz w:val="24"/>
          <w:szCs w:val="24"/>
        </w:rPr>
      </w:pPr>
      <w:r>
        <w:rPr>
          <w:rFonts w:cstheme="minorHAnsi"/>
          <w:sz w:val="24"/>
          <w:szCs w:val="24"/>
        </w:rPr>
        <w:t xml:space="preserve">PAMIĘTAJ! </w:t>
      </w:r>
      <w:r w:rsidR="304A1A09" w:rsidRPr="00771E87">
        <w:rPr>
          <w:rFonts w:cstheme="minorHAnsi"/>
          <w:sz w:val="24"/>
          <w:szCs w:val="24"/>
        </w:rPr>
        <w:t>Wydatki poniesione na zakup</w:t>
      </w:r>
      <w:r w:rsidR="2B066709" w:rsidRPr="00771E87">
        <w:rPr>
          <w:rFonts w:cstheme="minorHAnsi"/>
          <w:sz w:val="24"/>
          <w:szCs w:val="24"/>
        </w:rPr>
        <w:t xml:space="preserve"> nowych środków transportu</w:t>
      </w:r>
      <w:r w:rsidR="00640FE5">
        <w:rPr>
          <w:rFonts w:cstheme="minorHAnsi"/>
          <w:sz w:val="24"/>
          <w:szCs w:val="24"/>
        </w:rPr>
        <w:t xml:space="preserve"> (pojazdów samochodowych)</w:t>
      </w:r>
      <w:r w:rsidR="2B066709" w:rsidRPr="00771E87">
        <w:rPr>
          <w:rFonts w:cstheme="minorHAnsi"/>
          <w:sz w:val="24"/>
          <w:szCs w:val="24"/>
        </w:rPr>
        <w:t xml:space="preserve">, spełniających wyżej wymienione warunki, </w:t>
      </w:r>
      <w:r w:rsidR="304A1A09" w:rsidRPr="00771E87">
        <w:rPr>
          <w:rFonts w:cstheme="minorHAnsi"/>
          <w:sz w:val="24"/>
          <w:szCs w:val="24"/>
        </w:rPr>
        <w:t>mogą być kwalifikowalne wyłącznie w</w:t>
      </w:r>
      <w:r w:rsidR="00F00B76">
        <w:rPr>
          <w:rFonts w:cstheme="minorHAnsi"/>
          <w:sz w:val="24"/>
          <w:szCs w:val="24"/>
        </w:rPr>
        <w:t> </w:t>
      </w:r>
      <w:r w:rsidR="304A1A09" w:rsidRPr="00771E87">
        <w:rPr>
          <w:rFonts w:cstheme="minorHAnsi"/>
          <w:sz w:val="24"/>
          <w:szCs w:val="24"/>
        </w:rPr>
        <w:t xml:space="preserve">wysokości odpowiadającej odpisom amortyzacyjnym za okres, w którym </w:t>
      </w:r>
      <w:r w:rsidR="00BF1BCA">
        <w:rPr>
          <w:rFonts w:cstheme="minorHAnsi"/>
          <w:sz w:val="24"/>
          <w:szCs w:val="24"/>
        </w:rPr>
        <w:t>będą</w:t>
      </w:r>
      <w:r w:rsidR="00BF1BCA" w:rsidRPr="00771E87">
        <w:rPr>
          <w:rFonts w:cstheme="minorHAnsi"/>
          <w:sz w:val="24"/>
          <w:szCs w:val="24"/>
        </w:rPr>
        <w:t xml:space="preserve"> </w:t>
      </w:r>
      <w:r w:rsidR="304A1A09" w:rsidRPr="00771E87">
        <w:rPr>
          <w:rFonts w:cstheme="minorHAnsi"/>
          <w:sz w:val="24"/>
          <w:szCs w:val="24"/>
        </w:rPr>
        <w:t xml:space="preserve">one wykorzystane na rzecz </w:t>
      </w:r>
      <w:r w:rsidR="6D890BC9" w:rsidRPr="00771E87">
        <w:rPr>
          <w:rFonts w:cstheme="minorHAnsi"/>
          <w:sz w:val="24"/>
          <w:szCs w:val="24"/>
        </w:rPr>
        <w:t>przedsięwzięcia MŚP</w:t>
      </w:r>
      <w:r w:rsidR="304A1A09" w:rsidRPr="00771E87">
        <w:rPr>
          <w:rFonts w:cstheme="minorHAnsi"/>
          <w:sz w:val="24"/>
          <w:szCs w:val="24"/>
        </w:rPr>
        <w:t>.</w:t>
      </w:r>
    </w:p>
    <w:p w14:paraId="51B926FF" w14:textId="629886B0" w:rsidR="00F20F5B" w:rsidRPr="00771E87" w:rsidRDefault="439661B0" w:rsidP="00E57A4B">
      <w:pPr>
        <w:pStyle w:val="NCBR2Nagowek"/>
        <w:spacing w:after="360" w:line="360" w:lineRule="auto"/>
        <w:rPr>
          <w:rFonts w:asciiTheme="minorHAnsi" w:hAnsiTheme="minorHAnsi" w:cstheme="minorHAnsi"/>
          <w:sz w:val="24"/>
          <w:szCs w:val="24"/>
        </w:rPr>
      </w:pPr>
      <w:bookmarkStart w:id="48" w:name="_Toc153712611"/>
      <w:bookmarkStart w:id="49" w:name="_Toc162526824"/>
      <w:r w:rsidRPr="00771E87">
        <w:rPr>
          <w:rFonts w:asciiTheme="minorHAnsi" w:hAnsiTheme="minorHAnsi" w:cstheme="minorHAnsi"/>
          <w:sz w:val="24"/>
          <w:szCs w:val="24"/>
        </w:rPr>
        <w:t>4.</w:t>
      </w:r>
      <w:r w:rsidR="72982FA3" w:rsidRPr="00771E87">
        <w:rPr>
          <w:rFonts w:asciiTheme="minorHAnsi" w:hAnsiTheme="minorHAnsi" w:cstheme="minorHAnsi"/>
          <w:sz w:val="24"/>
          <w:szCs w:val="24"/>
        </w:rPr>
        <w:t>3</w:t>
      </w:r>
      <w:r w:rsidRPr="00771E87">
        <w:rPr>
          <w:rFonts w:asciiTheme="minorHAnsi" w:hAnsiTheme="minorHAnsi" w:cstheme="minorHAnsi"/>
          <w:sz w:val="24"/>
          <w:szCs w:val="24"/>
        </w:rPr>
        <w:t xml:space="preserve"> </w:t>
      </w:r>
      <w:r w:rsidR="491A70D9" w:rsidRPr="00771E87">
        <w:rPr>
          <w:rFonts w:asciiTheme="minorHAnsi" w:hAnsiTheme="minorHAnsi" w:cstheme="minorHAnsi"/>
          <w:sz w:val="24"/>
          <w:szCs w:val="24"/>
        </w:rPr>
        <w:t>Wartości niematerialne i prawne</w:t>
      </w:r>
      <w:bookmarkEnd w:id="48"/>
      <w:bookmarkEnd w:id="49"/>
    </w:p>
    <w:p w14:paraId="409C018D" w14:textId="77777777" w:rsidR="00A579EE" w:rsidRPr="00771E87" w:rsidRDefault="43F9F8E4" w:rsidP="00B25D62">
      <w:pPr>
        <w:pStyle w:val="Default"/>
        <w:spacing w:line="360" w:lineRule="auto"/>
        <w:rPr>
          <w:rFonts w:asciiTheme="minorHAnsi" w:hAnsiTheme="minorHAnsi" w:cstheme="minorHAnsi"/>
        </w:rPr>
      </w:pPr>
      <w:r w:rsidRPr="00771E87">
        <w:rPr>
          <w:rFonts w:asciiTheme="minorHAnsi" w:hAnsiTheme="minorHAnsi" w:cstheme="minorHAnsi"/>
        </w:rPr>
        <w:t>Przez wartości niematerialne i prawne należy rozumieć</w:t>
      </w:r>
      <w:r w:rsidR="077251D8" w:rsidRPr="00771E87">
        <w:rPr>
          <w:rFonts w:asciiTheme="minorHAnsi" w:hAnsiTheme="minorHAnsi" w:cstheme="minorHAnsi"/>
        </w:rPr>
        <w:t xml:space="preserve"> zgodnie z ustawą o rachunkowości</w:t>
      </w:r>
      <w:r w:rsidRPr="00771E87">
        <w:rPr>
          <w:rFonts w:asciiTheme="minorHAnsi" w:hAnsiTheme="minorHAnsi" w:cstheme="minorHAnsi"/>
        </w:rPr>
        <w:t xml:space="preserve"> </w:t>
      </w:r>
      <w:r w:rsidR="077251D8" w:rsidRPr="00771E87">
        <w:rPr>
          <w:rFonts w:asciiTheme="minorHAnsi" w:hAnsiTheme="minorHAnsi" w:cstheme="minorHAnsi"/>
        </w:rPr>
        <w:t>nabyte przez jednostkę, zaliczane do aktywów trwałych prawa majątkowe nadające się do gospodarczego wykorzystania o przewidywanym okresie ekonomicznej użyteczności dłuższym niż rok, przeznaczone do używania na potrzeby jednostki, w szczególności:</w:t>
      </w:r>
    </w:p>
    <w:p w14:paraId="6728DFAC" w14:textId="77777777" w:rsidR="00A579EE" w:rsidRPr="00771E87" w:rsidRDefault="077251D8" w:rsidP="00B25D62">
      <w:pPr>
        <w:pStyle w:val="Default"/>
        <w:spacing w:line="360" w:lineRule="auto"/>
        <w:rPr>
          <w:rFonts w:asciiTheme="minorHAnsi" w:hAnsiTheme="minorHAnsi" w:cstheme="minorHAnsi"/>
        </w:rPr>
      </w:pPr>
      <w:r w:rsidRPr="00771E87">
        <w:rPr>
          <w:rFonts w:asciiTheme="minorHAnsi" w:hAnsiTheme="minorHAnsi" w:cstheme="minorHAnsi"/>
        </w:rPr>
        <w:t xml:space="preserve">a) autorskie prawa majątkowe (w tym. </w:t>
      </w:r>
      <w:r w:rsidR="0B30E280" w:rsidRPr="00771E87">
        <w:rPr>
          <w:rFonts w:asciiTheme="minorHAnsi" w:hAnsiTheme="minorHAnsi" w:cstheme="minorHAnsi"/>
        </w:rPr>
        <w:t>m</w:t>
      </w:r>
      <w:r w:rsidRPr="00771E87">
        <w:rPr>
          <w:rFonts w:asciiTheme="minorHAnsi" w:hAnsiTheme="minorHAnsi" w:cstheme="minorHAnsi"/>
        </w:rPr>
        <w:t>.in. programy komputerowe), prawa pokrewne, licencje, koncesje,</w:t>
      </w:r>
    </w:p>
    <w:p w14:paraId="4E79CA2D" w14:textId="77777777" w:rsidR="00A579EE" w:rsidRPr="00771E87" w:rsidRDefault="077251D8" w:rsidP="00B25D62">
      <w:pPr>
        <w:pStyle w:val="Default"/>
        <w:spacing w:line="360" w:lineRule="auto"/>
        <w:rPr>
          <w:rFonts w:asciiTheme="minorHAnsi" w:hAnsiTheme="minorHAnsi" w:cstheme="minorHAnsi"/>
        </w:rPr>
      </w:pPr>
      <w:r w:rsidRPr="00771E87">
        <w:rPr>
          <w:rFonts w:asciiTheme="minorHAnsi" w:hAnsiTheme="minorHAnsi" w:cstheme="minorHAnsi"/>
        </w:rPr>
        <w:lastRenderedPageBreak/>
        <w:t>b) prawa do wynalazków, patentów, znaków towarowych, wzorów użytkowych lub zdobniczych,</w:t>
      </w:r>
    </w:p>
    <w:p w14:paraId="77C3B816" w14:textId="1885AF42" w:rsidR="00AC5C4B" w:rsidRPr="00771E87" w:rsidRDefault="077251D8" w:rsidP="00A579EE">
      <w:pPr>
        <w:pStyle w:val="Default"/>
        <w:spacing w:after="360" w:line="360" w:lineRule="auto"/>
        <w:rPr>
          <w:rFonts w:asciiTheme="minorHAnsi" w:hAnsiTheme="minorHAnsi" w:cstheme="minorHAnsi"/>
        </w:rPr>
      </w:pPr>
      <w:r w:rsidRPr="00771E87">
        <w:rPr>
          <w:rFonts w:asciiTheme="minorHAnsi" w:hAnsiTheme="minorHAnsi" w:cstheme="minorHAnsi"/>
        </w:rPr>
        <w:t xml:space="preserve">c) know-how (np. </w:t>
      </w:r>
      <w:r w:rsidRPr="00771E87">
        <w:rPr>
          <w:rFonts w:asciiTheme="minorHAnsi" w:hAnsiTheme="minorHAnsi" w:cstheme="minorHAnsi"/>
          <w:color w:val="auto"/>
        </w:rPr>
        <w:t>bazy danych, w tym bazy klientów, receptury i przepisy, strategie</w:t>
      </w:r>
      <w:r w:rsidR="529A3FE1" w:rsidRPr="00771E87">
        <w:rPr>
          <w:rFonts w:asciiTheme="minorHAnsi" w:hAnsiTheme="minorHAnsi" w:cstheme="minorHAnsi"/>
          <w:color w:val="auto"/>
        </w:rPr>
        <w:t xml:space="preserve"> </w:t>
      </w:r>
      <w:r w:rsidRPr="00771E87">
        <w:rPr>
          <w:rFonts w:asciiTheme="minorHAnsi" w:hAnsiTheme="minorHAnsi" w:cstheme="minorHAnsi"/>
          <w:color w:val="auto"/>
        </w:rPr>
        <w:t>i</w:t>
      </w:r>
      <w:r w:rsidR="5D5DFC96" w:rsidRPr="00771E87">
        <w:rPr>
          <w:rFonts w:asciiTheme="minorHAnsi" w:hAnsiTheme="minorHAnsi" w:cstheme="minorHAnsi"/>
          <w:color w:val="auto"/>
        </w:rPr>
        <w:t xml:space="preserve"> </w:t>
      </w:r>
      <w:r w:rsidRPr="00771E87">
        <w:rPr>
          <w:rFonts w:asciiTheme="minorHAnsi" w:hAnsiTheme="minorHAnsi" w:cstheme="minorHAnsi"/>
          <w:color w:val="auto"/>
        </w:rPr>
        <w:t>przewidywania, system archiwizacji danych, procedury związane</w:t>
      </w:r>
      <w:r w:rsidR="79ADB406" w:rsidRPr="00771E87">
        <w:rPr>
          <w:rFonts w:asciiTheme="minorHAnsi" w:hAnsiTheme="minorHAnsi" w:cstheme="minorHAnsi"/>
          <w:color w:val="auto"/>
        </w:rPr>
        <w:t xml:space="preserve"> z</w:t>
      </w:r>
      <w:r w:rsidRPr="00771E87">
        <w:rPr>
          <w:rFonts w:asciiTheme="minorHAnsi" w:hAnsiTheme="minorHAnsi" w:cstheme="minorHAnsi"/>
          <w:color w:val="auto"/>
        </w:rPr>
        <w:t xml:space="preserve"> zarz</w:t>
      </w:r>
      <w:r w:rsidR="4F980913" w:rsidRPr="00771E87">
        <w:rPr>
          <w:rFonts w:asciiTheme="minorHAnsi" w:hAnsiTheme="minorHAnsi" w:cstheme="minorHAnsi"/>
          <w:color w:val="auto"/>
        </w:rPr>
        <w:t>ą</w:t>
      </w:r>
      <w:r w:rsidRPr="00771E87">
        <w:rPr>
          <w:rFonts w:asciiTheme="minorHAnsi" w:hAnsiTheme="minorHAnsi" w:cstheme="minorHAnsi"/>
          <w:color w:val="auto"/>
        </w:rPr>
        <w:t>dzaniem</w:t>
      </w:r>
      <w:r w:rsidR="461012A8" w:rsidRPr="00771E87">
        <w:rPr>
          <w:rFonts w:asciiTheme="minorHAnsi" w:hAnsiTheme="minorHAnsi" w:cstheme="minorHAnsi"/>
          <w:color w:val="auto"/>
        </w:rPr>
        <w:t xml:space="preserve"> </w:t>
      </w:r>
      <w:r w:rsidRPr="00771E87">
        <w:rPr>
          <w:rFonts w:asciiTheme="minorHAnsi" w:hAnsiTheme="minorHAnsi" w:cstheme="minorHAnsi"/>
          <w:color w:val="auto"/>
        </w:rPr>
        <w:t>przedsiębiorstwem)</w:t>
      </w:r>
      <w:r w:rsidR="78BF6310" w:rsidRPr="00771E87">
        <w:rPr>
          <w:rFonts w:asciiTheme="minorHAnsi" w:hAnsiTheme="minorHAnsi" w:cstheme="minorHAnsi"/>
          <w:color w:val="auto"/>
        </w:rPr>
        <w:t>.</w:t>
      </w:r>
    </w:p>
    <w:p w14:paraId="30C2CFAE" w14:textId="77777777" w:rsidR="00AC5C4B" w:rsidRPr="00771E87" w:rsidRDefault="00AC5C4B" w:rsidP="00B25D62">
      <w:pPr>
        <w:keepLines/>
        <w:widowControl w:val="0"/>
        <w:spacing w:after="0" w:line="360" w:lineRule="auto"/>
        <w:rPr>
          <w:rFonts w:cstheme="minorHAnsi"/>
          <w:sz w:val="24"/>
          <w:szCs w:val="24"/>
        </w:rPr>
      </w:pPr>
      <w:r w:rsidRPr="00771E87">
        <w:rPr>
          <w:rFonts w:cstheme="minorHAnsi"/>
          <w:sz w:val="24"/>
          <w:szCs w:val="24"/>
        </w:rPr>
        <w:t>Zasoby, które nie znajdują się pod kontrolą jednostki nie są jej aktywami.</w:t>
      </w:r>
    </w:p>
    <w:p w14:paraId="3CA62512" w14:textId="77777777" w:rsidR="00AC5C4B" w:rsidRPr="00771E87" w:rsidRDefault="00AC5C4B" w:rsidP="00B25D62">
      <w:pPr>
        <w:pStyle w:val="Default"/>
        <w:spacing w:line="360" w:lineRule="auto"/>
        <w:rPr>
          <w:rFonts w:asciiTheme="minorHAnsi" w:hAnsiTheme="minorHAnsi" w:cstheme="minorHAnsi"/>
          <w:color w:val="auto"/>
        </w:rPr>
      </w:pPr>
      <w:r w:rsidRPr="00771E87">
        <w:rPr>
          <w:rFonts w:asciiTheme="minorHAnsi" w:hAnsiTheme="minorHAnsi" w:cstheme="minorHAnsi"/>
          <w:color w:val="auto"/>
        </w:rPr>
        <w:t>Składnik aktywów niematerialnych musi być pozycją możliwą do zidentyfikowania. Składnik można zidentyfikować, jeżeli:</w:t>
      </w:r>
    </w:p>
    <w:p w14:paraId="4CE8FBBB" w14:textId="77777777" w:rsidR="00AC5C4B" w:rsidRPr="00771E87" w:rsidRDefault="08B11F2B" w:rsidP="450F1B5E">
      <w:pPr>
        <w:pStyle w:val="Default"/>
        <w:numPr>
          <w:ilvl w:val="0"/>
          <w:numId w:val="95"/>
        </w:numPr>
        <w:spacing w:line="360" w:lineRule="auto"/>
        <w:ind w:left="360"/>
        <w:rPr>
          <w:rFonts w:asciiTheme="minorHAnsi" w:hAnsiTheme="minorHAnsi" w:cstheme="minorHAnsi"/>
          <w:color w:val="auto"/>
        </w:rPr>
      </w:pPr>
      <w:r w:rsidRPr="00771E87">
        <w:rPr>
          <w:rFonts w:asciiTheme="minorHAnsi" w:hAnsiTheme="minorHAnsi" w:cstheme="minorHAnsi"/>
          <w:color w:val="auto"/>
        </w:rPr>
        <w:t>wynika z praw umownych lub z innych tytułów prawnych lub też</w:t>
      </w:r>
    </w:p>
    <w:p w14:paraId="502B860F" w14:textId="3988DE0C" w:rsidR="00AC5C4B" w:rsidRPr="00771E87" w:rsidRDefault="08B11F2B" w:rsidP="00E57A4B">
      <w:pPr>
        <w:pStyle w:val="Akapitzlist"/>
        <w:keepLines/>
        <w:widowControl w:val="0"/>
        <w:numPr>
          <w:ilvl w:val="0"/>
          <w:numId w:val="95"/>
        </w:numPr>
        <w:spacing w:after="0" w:line="360" w:lineRule="auto"/>
        <w:ind w:left="360"/>
        <w:rPr>
          <w:rFonts w:cstheme="minorHAnsi"/>
          <w:sz w:val="24"/>
          <w:szCs w:val="24"/>
        </w:rPr>
      </w:pPr>
      <w:r w:rsidRPr="00771E87">
        <w:rPr>
          <w:rFonts w:cstheme="minorHAnsi"/>
          <w:sz w:val="24"/>
          <w:szCs w:val="24"/>
        </w:rPr>
        <w:t>jest możliwy do wyodrębnienia, tzn. można go oddzielić od jednostki i przenieść na inny podmiot; przeniesienie takie może nastąpić w różnorakiej formie, np. w drodze sprzedaży, udzielenia licencji, wynajmu, wymiany, użyczenia, darowizny.</w:t>
      </w:r>
    </w:p>
    <w:p w14:paraId="16716A17" w14:textId="72CF3ADD" w:rsidR="00C066F1" w:rsidRPr="00771E87" w:rsidRDefault="00AC5C4B" w:rsidP="00B25D62">
      <w:pPr>
        <w:autoSpaceDE w:val="0"/>
        <w:autoSpaceDN w:val="0"/>
        <w:adjustRightInd w:val="0"/>
        <w:spacing w:after="0" w:line="360" w:lineRule="auto"/>
        <w:rPr>
          <w:rFonts w:cstheme="minorHAnsi"/>
          <w:color w:val="000000"/>
          <w:sz w:val="24"/>
          <w:szCs w:val="24"/>
        </w:rPr>
      </w:pPr>
      <w:r w:rsidRPr="00771E87">
        <w:rPr>
          <w:rFonts w:cstheme="minorHAnsi"/>
          <w:color w:val="000000"/>
          <w:sz w:val="24"/>
          <w:szCs w:val="24"/>
        </w:rPr>
        <w:t>K</w:t>
      </w:r>
      <w:r w:rsidR="00C066F1" w:rsidRPr="00771E87">
        <w:rPr>
          <w:rFonts w:cstheme="minorHAnsi"/>
          <w:color w:val="000000"/>
          <w:sz w:val="24"/>
          <w:szCs w:val="24"/>
        </w:rPr>
        <w:t>walifikowalne są koszty nabycia wartości niematerialnych i prawnych, jeżeli spełniają łącznie następujące warunki:</w:t>
      </w:r>
    </w:p>
    <w:p w14:paraId="17FFB83E" w14:textId="52BB3EEF" w:rsidR="00C066F1" w:rsidRPr="00771E87" w:rsidRDefault="6AC7DBC8" w:rsidP="450F1B5E">
      <w:pPr>
        <w:pStyle w:val="Akapitzlist"/>
        <w:numPr>
          <w:ilvl w:val="0"/>
          <w:numId w:val="141"/>
        </w:numPr>
        <w:autoSpaceDE w:val="0"/>
        <w:autoSpaceDN w:val="0"/>
        <w:adjustRightInd w:val="0"/>
        <w:spacing w:after="0" w:line="360" w:lineRule="auto"/>
        <w:ind w:left="630"/>
        <w:rPr>
          <w:rFonts w:cstheme="minorHAnsi"/>
          <w:color w:val="000000"/>
          <w:sz w:val="24"/>
          <w:szCs w:val="24"/>
        </w:rPr>
      </w:pPr>
      <w:r w:rsidRPr="00771E87">
        <w:rPr>
          <w:rFonts w:cstheme="minorHAnsi"/>
          <w:color w:val="000000" w:themeColor="text1"/>
          <w:sz w:val="24"/>
          <w:szCs w:val="24"/>
        </w:rPr>
        <w:t xml:space="preserve">będą wykorzystywane wyłącznie w </w:t>
      </w:r>
      <w:r w:rsidR="3AADE34F" w:rsidRPr="00771E87">
        <w:rPr>
          <w:rFonts w:cstheme="minorHAnsi"/>
          <w:color w:val="000000" w:themeColor="text1"/>
          <w:sz w:val="24"/>
          <w:szCs w:val="24"/>
        </w:rPr>
        <w:t xml:space="preserve">przedsiębiorstwie </w:t>
      </w:r>
      <w:r w:rsidRPr="00771E87">
        <w:rPr>
          <w:rFonts w:cstheme="minorHAnsi"/>
          <w:color w:val="000000" w:themeColor="text1"/>
          <w:sz w:val="24"/>
          <w:szCs w:val="24"/>
        </w:rPr>
        <w:t xml:space="preserve">otrzymującym </w:t>
      </w:r>
      <w:r w:rsidR="3AADE34F" w:rsidRPr="00771E87">
        <w:rPr>
          <w:rFonts w:cstheme="minorHAnsi"/>
          <w:color w:val="000000" w:themeColor="text1"/>
          <w:sz w:val="24"/>
          <w:szCs w:val="24"/>
        </w:rPr>
        <w:t>wsparcie</w:t>
      </w:r>
      <w:r w:rsidRPr="00771E87">
        <w:rPr>
          <w:rFonts w:cstheme="minorHAnsi"/>
          <w:color w:val="000000" w:themeColor="text1"/>
          <w:sz w:val="24"/>
          <w:szCs w:val="24"/>
        </w:rPr>
        <w:t>,</w:t>
      </w:r>
    </w:p>
    <w:p w14:paraId="484BEBBA" w14:textId="746A4916" w:rsidR="00C066F1" w:rsidRPr="00771E87" w:rsidRDefault="43EC5066" w:rsidP="450F1B5E">
      <w:pPr>
        <w:pStyle w:val="Akapitzlist"/>
        <w:numPr>
          <w:ilvl w:val="0"/>
          <w:numId w:val="141"/>
        </w:numPr>
        <w:autoSpaceDE w:val="0"/>
        <w:autoSpaceDN w:val="0"/>
        <w:adjustRightInd w:val="0"/>
        <w:spacing w:after="0" w:line="360" w:lineRule="auto"/>
        <w:ind w:left="630"/>
        <w:rPr>
          <w:rFonts w:cstheme="minorHAnsi"/>
          <w:color w:val="000000"/>
          <w:sz w:val="24"/>
          <w:szCs w:val="24"/>
        </w:rPr>
      </w:pPr>
      <w:r w:rsidRPr="00771E87">
        <w:rPr>
          <w:rFonts w:cstheme="minorHAnsi"/>
          <w:color w:val="000000" w:themeColor="text1"/>
          <w:sz w:val="24"/>
          <w:szCs w:val="24"/>
        </w:rPr>
        <w:t>będą podlegać amortyzacji zgodnie z przepisami o rachunkowości,</w:t>
      </w:r>
    </w:p>
    <w:p w14:paraId="239F2A2B" w14:textId="21DC54DB" w:rsidR="00C066F1" w:rsidRPr="00771E87" w:rsidRDefault="0BB0F08D" w:rsidP="450F1B5E">
      <w:pPr>
        <w:pStyle w:val="Akapitzlist"/>
        <w:numPr>
          <w:ilvl w:val="0"/>
          <w:numId w:val="141"/>
        </w:numPr>
        <w:autoSpaceDE w:val="0"/>
        <w:autoSpaceDN w:val="0"/>
        <w:adjustRightInd w:val="0"/>
        <w:spacing w:after="0" w:line="360" w:lineRule="auto"/>
        <w:ind w:left="630"/>
        <w:rPr>
          <w:rFonts w:cstheme="minorHAnsi"/>
          <w:color w:val="000000"/>
          <w:sz w:val="24"/>
          <w:szCs w:val="24"/>
        </w:rPr>
      </w:pPr>
      <w:r w:rsidRPr="00771E87">
        <w:rPr>
          <w:rFonts w:cstheme="minorHAnsi"/>
          <w:color w:val="000000" w:themeColor="text1"/>
          <w:sz w:val="24"/>
          <w:szCs w:val="24"/>
        </w:rPr>
        <w:t>zostaną nabyte na warunkach rynkowych od osób trzecich niepowiązanych</w:t>
      </w:r>
      <w:r w:rsidR="529A3FE1" w:rsidRPr="00771E87">
        <w:rPr>
          <w:rFonts w:cstheme="minorHAnsi"/>
          <w:color w:val="000000" w:themeColor="text1"/>
          <w:sz w:val="24"/>
          <w:szCs w:val="24"/>
        </w:rPr>
        <w:t xml:space="preserve"> </w:t>
      </w:r>
      <w:r w:rsidRPr="00771E87">
        <w:rPr>
          <w:rFonts w:cstheme="minorHAnsi"/>
          <w:color w:val="000000" w:themeColor="text1"/>
          <w:sz w:val="24"/>
          <w:szCs w:val="24"/>
        </w:rPr>
        <w:t>z</w:t>
      </w:r>
      <w:r w:rsidR="00F00B76">
        <w:rPr>
          <w:rFonts w:cstheme="minorHAnsi"/>
          <w:color w:val="000000" w:themeColor="text1"/>
          <w:sz w:val="24"/>
          <w:szCs w:val="24"/>
        </w:rPr>
        <w:t> </w:t>
      </w:r>
      <w:r w:rsidR="4505AF9C" w:rsidRPr="00771E87">
        <w:rPr>
          <w:rFonts w:cstheme="minorHAnsi"/>
          <w:color w:val="000000" w:themeColor="text1"/>
          <w:sz w:val="24"/>
          <w:szCs w:val="24"/>
        </w:rPr>
        <w:t xml:space="preserve">przedsiębiorstwem </w:t>
      </w:r>
      <w:r w:rsidRPr="00771E87">
        <w:rPr>
          <w:rFonts w:cstheme="minorHAnsi"/>
          <w:color w:val="000000" w:themeColor="text1"/>
          <w:sz w:val="24"/>
          <w:szCs w:val="24"/>
        </w:rPr>
        <w:t xml:space="preserve">otrzymującym </w:t>
      </w:r>
      <w:r w:rsidR="0D15AE53" w:rsidRPr="00771E87">
        <w:rPr>
          <w:rFonts w:cstheme="minorHAnsi"/>
          <w:color w:val="000000" w:themeColor="text1"/>
          <w:sz w:val="24"/>
          <w:szCs w:val="24"/>
        </w:rPr>
        <w:t>wsparcie</w:t>
      </w:r>
      <w:r w:rsidRPr="00771E87">
        <w:rPr>
          <w:rFonts w:cstheme="minorHAnsi"/>
          <w:color w:val="000000" w:themeColor="text1"/>
          <w:sz w:val="24"/>
          <w:szCs w:val="24"/>
        </w:rPr>
        <w:t>,</w:t>
      </w:r>
    </w:p>
    <w:p w14:paraId="2C21872B" w14:textId="2CA17E8A" w:rsidR="00C066F1" w:rsidRPr="00771E87" w:rsidRDefault="43F9F8E4" w:rsidP="75A0D702">
      <w:pPr>
        <w:pStyle w:val="Akapitzlist"/>
        <w:numPr>
          <w:ilvl w:val="0"/>
          <w:numId w:val="141"/>
        </w:numPr>
        <w:autoSpaceDE w:val="0"/>
        <w:autoSpaceDN w:val="0"/>
        <w:adjustRightInd w:val="0"/>
        <w:spacing w:after="0" w:line="360" w:lineRule="auto"/>
        <w:ind w:left="630"/>
        <w:rPr>
          <w:color w:val="000000"/>
          <w:sz w:val="24"/>
          <w:szCs w:val="24"/>
        </w:rPr>
      </w:pPr>
      <w:r w:rsidRPr="00771E87">
        <w:rPr>
          <w:color w:val="000000" w:themeColor="text1"/>
          <w:sz w:val="24"/>
          <w:szCs w:val="24"/>
        </w:rPr>
        <w:t xml:space="preserve">będą stanowić aktywa </w:t>
      </w:r>
      <w:r w:rsidR="4759E58D" w:rsidRPr="00771E87">
        <w:rPr>
          <w:color w:val="000000" w:themeColor="text1"/>
          <w:sz w:val="24"/>
          <w:szCs w:val="24"/>
        </w:rPr>
        <w:t xml:space="preserve">przedsiębiorstwa </w:t>
      </w:r>
      <w:r w:rsidRPr="00771E87">
        <w:rPr>
          <w:color w:val="000000" w:themeColor="text1"/>
          <w:sz w:val="24"/>
          <w:szCs w:val="24"/>
        </w:rPr>
        <w:t xml:space="preserve">otrzymującego </w:t>
      </w:r>
      <w:r w:rsidR="2177AF2F" w:rsidRPr="00771E87">
        <w:rPr>
          <w:color w:val="000000" w:themeColor="text1"/>
          <w:sz w:val="24"/>
          <w:szCs w:val="24"/>
        </w:rPr>
        <w:t>wsparcie</w:t>
      </w:r>
      <w:r w:rsidRPr="00771E87">
        <w:rPr>
          <w:color w:val="000000" w:themeColor="text1"/>
          <w:sz w:val="24"/>
          <w:szCs w:val="24"/>
        </w:rPr>
        <w:t xml:space="preserve"> i pozostaną związane</w:t>
      </w:r>
      <w:r w:rsidR="120342A8" w:rsidRPr="00771E87">
        <w:rPr>
          <w:color w:val="000000" w:themeColor="text1"/>
          <w:sz w:val="24"/>
          <w:szCs w:val="24"/>
        </w:rPr>
        <w:t xml:space="preserve"> </w:t>
      </w:r>
      <w:r w:rsidRPr="00771E87">
        <w:rPr>
          <w:color w:val="000000" w:themeColor="text1"/>
          <w:sz w:val="24"/>
          <w:szCs w:val="24"/>
        </w:rPr>
        <w:t>z</w:t>
      </w:r>
      <w:r w:rsidR="00F00B76">
        <w:rPr>
          <w:color w:val="000000" w:themeColor="text1"/>
          <w:sz w:val="24"/>
          <w:szCs w:val="24"/>
        </w:rPr>
        <w:t> </w:t>
      </w:r>
      <w:r w:rsidR="60E8F432" w:rsidRPr="00771E87">
        <w:rPr>
          <w:color w:val="000000" w:themeColor="text1"/>
          <w:sz w:val="24"/>
          <w:szCs w:val="24"/>
        </w:rPr>
        <w:t>przedsięwzięciem MŚP</w:t>
      </w:r>
      <w:r w:rsidRPr="00771E87">
        <w:rPr>
          <w:color w:val="000000" w:themeColor="text1"/>
          <w:sz w:val="24"/>
          <w:szCs w:val="24"/>
        </w:rPr>
        <w:t xml:space="preserve">, na który przyznano </w:t>
      </w:r>
      <w:r w:rsidR="2177AF2F" w:rsidRPr="00771E87">
        <w:rPr>
          <w:color w:val="000000" w:themeColor="text1"/>
          <w:sz w:val="24"/>
          <w:szCs w:val="24"/>
        </w:rPr>
        <w:t>wsparcie</w:t>
      </w:r>
      <w:r w:rsidRPr="00771E87">
        <w:rPr>
          <w:color w:val="000000" w:themeColor="text1"/>
          <w:sz w:val="24"/>
          <w:szCs w:val="24"/>
        </w:rPr>
        <w:t xml:space="preserve">, przez okres co najmniej </w:t>
      </w:r>
      <w:r w:rsidR="009B3948" w:rsidRPr="00771E87">
        <w:rPr>
          <w:color w:val="000000" w:themeColor="text1"/>
          <w:sz w:val="24"/>
          <w:szCs w:val="24"/>
        </w:rPr>
        <w:t xml:space="preserve">1 rok </w:t>
      </w:r>
      <w:r w:rsidRPr="00771E87">
        <w:rPr>
          <w:color w:val="000000" w:themeColor="text1"/>
          <w:sz w:val="24"/>
          <w:szCs w:val="24"/>
        </w:rPr>
        <w:t xml:space="preserve">od dnia zakończenia realizacji </w:t>
      </w:r>
      <w:r w:rsidR="60E8F432" w:rsidRPr="00771E87">
        <w:rPr>
          <w:color w:val="000000" w:themeColor="text1"/>
          <w:sz w:val="24"/>
          <w:szCs w:val="24"/>
        </w:rPr>
        <w:t>przedsięwzięcia MŚP</w:t>
      </w:r>
      <w:r w:rsidR="264F0F86" w:rsidRPr="00771E87">
        <w:rPr>
          <w:color w:val="000000" w:themeColor="text1"/>
          <w:sz w:val="24"/>
          <w:szCs w:val="24"/>
        </w:rPr>
        <w:t>,</w:t>
      </w:r>
    </w:p>
    <w:p w14:paraId="1DF7F0E3" w14:textId="52E04535" w:rsidR="00DC60E0" w:rsidRPr="00771E87" w:rsidRDefault="19079313" w:rsidP="450F1B5E">
      <w:pPr>
        <w:pStyle w:val="Akapitzlist"/>
        <w:numPr>
          <w:ilvl w:val="0"/>
          <w:numId w:val="141"/>
        </w:numPr>
        <w:autoSpaceDE w:val="0"/>
        <w:autoSpaceDN w:val="0"/>
        <w:adjustRightInd w:val="0"/>
        <w:spacing w:after="0" w:line="360" w:lineRule="auto"/>
        <w:ind w:left="630"/>
        <w:rPr>
          <w:rFonts w:cstheme="minorHAnsi"/>
          <w:color w:val="000000"/>
          <w:sz w:val="24"/>
          <w:szCs w:val="24"/>
        </w:rPr>
      </w:pPr>
      <w:r w:rsidRPr="00771E87">
        <w:rPr>
          <w:rFonts w:cstheme="minorHAnsi"/>
          <w:color w:val="000000" w:themeColor="text1"/>
          <w:sz w:val="24"/>
          <w:szCs w:val="24"/>
        </w:rPr>
        <w:t xml:space="preserve">będą służyć </w:t>
      </w:r>
      <w:r w:rsidR="2B8E8253" w:rsidRPr="00771E87">
        <w:rPr>
          <w:rFonts w:cstheme="minorHAnsi"/>
          <w:color w:val="000000" w:themeColor="text1"/>
          <w:sz w:val="24"/>
          <w:szCs w:val="24"/>
        </w:rPr>
        <w:t xml:space="preserve">rozszerzeniu lub </w:t>
      </w:r>
      <w:r w:rsidRPr="00771E87">
        <w:rPr>
          <w:rFonts w:cstheme="minorHAnsi"/>
          <w:color w:val="000000" w:themeColor="text1"/>
          <w:sz w:val="24"/>
          <w:szCs w:val="24"/>
        </w:rPr>
        <w:t xml:space="preserve">dywersyfikacji </w:t>
      </w:r>
      <w:r w:rsidR="5DE849E2" w:rsidRPr="00771E87">
        <w:rPr>
          <w:rFonts w:cstheme="minorHAnsi"/>
          <w:color w:val="000000" w:themeColor="text1"/>
          <w:sz w:val="24"/>
          <w:szCs w:val="24"/>
        </w:rPr>
        <w:t xml:space="preserve">działalności </w:t>
      </w:r>
      <w:r w:rsidRPr="00771E87">
        <w:rPr>
          <w:rFonts w:cstheme="minorHAnsi"/>
          <w:color w:val="000000" w:themeColor="text1"/>
          <w:sz w:val="24"/>
          <w:szCs w:val="24"/>
        </w:rPr>
        <w:t>przedsiębiorstw</w:t>
      </w:r>
      <w:r w:rsidR="3E2DD52F" w:rsidRPr="00771E87">
        <w:rPr>
          <w:rFonts w:cstheme="minorHAnsi"/>
          <w:color w:val="000000" w:themeColor="text1"/>
          <w:sz w:val="24"/>
          <w:szCs w:val="24"/>
        </w:rPr>
        <w:t>,</w:t>
      </w:r>
    </w:p>
    <w:p w14:paraId="4752DCC9" w14:textId="0EE870AA" w:rsidR="0000662A" w:rsidRPr="00771E87" w:rsidRDefault="19079313" w:rsidP="00A579EE">
      <w:pPr>
        <w:pStyle w:val="Akapitzlist"/>
        <w:numPr>
          <w:ilvl w:val="0"/>
          <w:numId w:val="141"/>
        </w:numPr>
        <w:autoSpaceDE w:val="0"/>
        <w:autoSpaceDN w:val="0"/>
        <w:adjustRightInd w:val="0"/>
        <w:spacing w:after="480" w:line="360" w:lineRule="auto"/>
        <w:ind w:left="629" w:hanging="357"/>
        <w:rPr>
          <w:rFonts w:cstheme="minorHAnsi"/>
          <w:color w:val="000000"/>
          <w:sz w:val="24"/>
          <w:szCs w:val="24"/>
        </w:rPr>
      </w:pPr>
      <w:r w:rsidRPr="00771E87">
        <w:rPr>
          <w:rFonts w:cstheme="minorHAnsi"/>
          <w:color w:val="000000" w:themeColor="text1"/>
          <w:sz w:val="24"/>
          <w:szCs w:val="24"/>
        </w:rPr>
        <w:t xml:space="preserve">wzmocnią odporność </w:t>
      </w:r>
      <w:r w:rsidR="165F515A" w:rsidRPr="00771E87">
        <w:rPr>
          <w:rFonts w:cstheme="minorHAnsi"/>
          <w:color w:val="000000" w:themeColor="text1"/>
          <w:sz w:val="24"/>
          <w:szCs w:val="24"/>
        </w:rPr>
        <w:t xml:space="preserve">przedsiębiorstwa </w:t>
      </w:r>
      <w:r w:rsidRPr="00771E87">
        <w:rPr>
          <w:rFonts w:cstheme="minorHAnsi"/>
          <w:color w:val="000000" w:themeColor="text1"/>
          <w:sz w:val="24"/>
          <w:szCs w:val="24"/>
        </w:rPr>
        <w:t xml:space="preserve">w przypadku wystąpienia </w:t>
      </w:r>
      <w:r w:rsidR="24B39C12" w:rsidRPr="00771E87">
        <w:rPr>
          <w:rFonts w:cstheme="minorHAnsi"/>
          <w:color w:val="000000" w:themeColor="text1"/>
          <w:sz w:val="24"/>
          <w:szCs w:val="24"/>
        </w:rPr>
        <w:t xml:space="preserve">potencjalnych </w:t>
      </w:r>
      <w:r w:rsidRPr="00771E87">
        <w:rPr>
          <w:rFonts w:cstheme="minorHAnsi"/>
          <w:color w:val="000000" w:themeColor="text1"/>
          <w:sz w:val="24"/>
          <w:szCs w:val="24"/>
        </w:rPr>
        <w:t>kryzysów.</w:t>
      </w:r>
    </w:p>
    <w:p w14:paraId="6F78C6CB" w14:textId="69CB55C5" w:rsidR="00F20F5B" w:rsidRPr="00771E87" w:rsidRDefault="439661B0" w:rsidP="00E57A4B">
      <w:pPr>
        <w:pStyle w:val="NCBR2Nagowek"/>
        <w:spacing w:after="360"/>
        <w:rPr>
          <w:rFonts w:asciiTheme="minorHAnsi" w:hAnsiTheme="minorHAnsi" w:cstheme="minorHAnsi"/>
          <w:sz w:val="24"/>
          <w:szCs w:val="24"/>
        </w:rPr>
      </w:pPr>
      <w:bookmarkStart w:id="50" w:name="_Toc153712612"/>
      <w:bookmarkStart w:id="51" w:name="_Toc162526825"/>
      <w:r w:rsidRPr="00771E87">
        <w:rPr>
          <w:rFonts w:asciiTheme="minorHAnsi" w:hAnsiTheme="minorHAnsi" w:cstheme="minorHAnsi"/>
          <w:sz w:val="24"/>
          <w:szCs w:val="24"/>
        </w:rPr>
        <w:t>4.</w:t>
      </w:r>
      <w:r w:rsidR="386F6C09" w:rsidRPr="00771E87">
        <w:rPr>
          <w:rFonts w:asciiTheme="minorHAnsi" w:hAnsiTheme="minorHAnsi" w:cstheme="minorHAnsi"/>
          <w:sz w:val="24"/>
          <w:szCs w:val="24"/>
        </w:rPr>
        <w:t>4</w:t>
      </w:r>
      <w:r w:rsidRPr="00771E87">
        <w:rPr>
          <w:rFonts w:asciiTheme="minorHAnsi" w:hAnsiTheme="minorHAnsi" w:cstheme="minorHAnsi"/>
          <w:sz w:val="24"/>
          <w:szCs w:val="24"/>
        </w:rPr>
        <w:t xml:space="preserve"> </w:t>
      </w:r>
      <w:r w:rsidR="22B6A938" w:rsidRPr="00771E87">
        <w:rPr>
          <w:rFonts w:asciiTheme="minorHAnsi" w:hAnsiTheme="minorHAnsi" w:cstheme="minorHAnsi"/>
          <w:sz w:val="24"/>
          <w:szCs w:val="24"/>
        </w:rPr>
        <w:t>Amortyzacja środków trwałych oraz wartości niematerialnych i prawnych</w:t>
      </w:r>
      <w:bookmarkEnd w:id="50"/>
      <w:bookmarkEnd w:id="51"/>
    </w:p>
    <w:p w14:paraId="0E28A466" w14:textId="332B3214" w:rsidR="00FE119E" w:rsidRPr="00771E87" w:rsidRDefault="00FE119E" w:rsidP="00B25D62">
      <w:pPr>
        <w:autoSpaceDE w:val="0"/>
        <w:autoSpaceDN w:val="0"/>
        <w:adjustRightInd w:val="0"/>
        <w:spacing w:after="0" w:line="360" w:lineRule="auto"/>
        <w:rPr>
          <w:rFonts w:cstheme="minorHAnsi"/>
          <w:sz w:val="24"/>
          <w:szCs w:val="24"/>
        </w:rPr>
      </w:pPr>
      <w:r w:rsidRPr="00771E87">
        <w:rPr>
          <w:rFonts w:cstheme="minorHAnsi"/>
          <w:sz w:val="24"/>
          <w:szCs w:val="24"/>
        </w:rPr>
        <w:t>Koszty amortyzacji środków trwałych oraz wartości niematerialnych i prawnych, kwalifikują się</w:t>
      </w:r>
      <w:r w:rsidR="005C1C27" w:rsidRPr="00771E87">
        <w:rPr>
          <w:rFonts w:cstheme="minorHAnsi"/>
          <w:sz w:val="24"/>
          <w:szCs w:val="24"/>
        </w:rPr>
        <w:t xml:space="preserve"> </w:t>
      </w:r>
      <w:r w:rsidRPr="00771E87">
        <w:rPr>
          <w:rFonts w:cstheme="minorHAnsi"/>
          <w:sz w:val="24"/>
          <w:szCs w:val="24"/>
        </w:rPr>
        <w:t>do współfinansowania, jeżeli spełnione są łącznie następujące warunki:</w:t>
      </w:r>
    </w:p>
    <w:p w14:paraId="455DBFE6" w14:textId="66516CD5" w:rsidR="00FE119E" w:rsidRPr="00771E87" w:rsidRDefault="22B6A938" w:rsidP="450F1B5E">
      <w:pPr>
        <w:pStyle w:val="Akapitzlist"/>
        <w:numPr>
          <w:ilvl w:val="0"/>
          <w:numId w:val="1"/>
        </w:numPr>
        <w:autoSpaceDE w:val="0"/>
        <w:autoSpaceDN w:val="0"/>
        <w:adjustRightInd w:val="0"/>
        <w:spacing w:after="0" w:line="360" w:lineRule="auto"/>
        <w:rPr>
          <w:rFonts w:cstheme="minorHAnsi"/>
          <w:sz w:val="24"/>
          <w:szCs w:val="24"/>
        </w:rPr>
      </w:pPr>
      <w:r w:rsidRPr="00771E87">
        <w:rPr>
          <w:rFonts w:cstheme="minorHAnsi"/>
          <w:sz w:val="24"/>
          <w:szCs w:val="24"/>
        </w:rPr>
        <w:t xml:space="preserve">odpisy amortyzacyjne dotyczą środków trwałych oraz wartości niematerialnych i prawnych, które są niezbędne do prawidłowej realizacji </w:t>
      </w:r>
      <w:r w:rsidR="50A14225" w:rsidRPr="00771E87">
        <w:rPr>
          <w:rFonts w:cstheme="minorHAnsi"/>
          <w:sz w:val="24"/>
          <w:szCs w:val="24"/>
        </w:rPr>
        <w:t>przedsięwzięcia MŚP</w:t>
      </w:r>
      <w:r w:rsidR="30FAAE57" w:rsidRPr="00771E87">
        <w:rPr>
          <w:rFonts w:cstheme="minorHAnsi"/>
          <w:sz w:val="24"/>
          <w:szCs w:val="24"/>
        </w:rPr>
        <w:t xml:space="preserve"> </w:t>
      </w:r>
      <w:r w:rsidRPr="00771E87">
        <w:rPr>
          <w:rFonts w:cstheme="minorHAnsi"/>
          <w:sz w:val="24"/>
          <w:szCs w:val="24"/>
        </w:rPr>
        <w:t>i bezpośrednio wykorzystywane do jego wdrażania,</w:t>
      </w:r>
    </w:p>
    <w:p w14:paraId="12DEA54C" w14:textId="36F71E3C" w:rsidR="00FE119E" w:rsidRPr="00771E87" w:rsidRDefault="0DBD0A83" w:rsidP="450F1B5E">
      <w:pPr>
        <w:pStyle w:val="Akapitzlist"/>
        <w:numPr>
          <w:ilvl w:val="0"/>
          <w:numId w:val="1"/>
        </w:numPr>
        <w:autoSpaceDE w:val="0"/>
        <w:autoSpaceDN w:val="0"/>
        <w:adjustRightInd w:val="0"/>
        <w:spacing w:after="0" w:line="360" w:lineRule="auto"/>
        <w:rPr>
          <w:rFonts w:cstheme="minorHAnsi"/>
          <w:sz w:val="24"/>
          <w:szCs w:val="24"/>
        </w:rPr>
      </w:pPr>
      <w:r w:rsidRPr="00771E87">
        <w:rPr>
          <w:rFonts w:cstheme="minorHAnsi"/>
          <w:sz w:val="24"/>
          <w:szCs w:val="24"/>
        </w:rPr>
        <w:lastRenderedPageBreak/>
        <w:t xml:space="preserve">kwalifikowalna wartość odpisów amortyzacyjnych odnosi się wyłącznie do okresu realizacji danego </w:t>
      </w:r>
      <w:r w:rsidR="2F71C3DA" w:rsidRPr="00771E87">
        <w:rPr>
          <w:rFonts w:cstheme="minorHAnsi"/>
          <w:sz w:val="24"/>
          <w:szCs w:val="24"/>
        </w:rPr>
        <w:t>przedsięwzięcia MŚP</w:t>
      </w:r>
      <w:r w:rsidR="4B319550" w:rsidRPr="00771E87">
        <w:rPr>
          <w:rFonts w:cstheme="minorHAnsi"/>
          <w:sz w:val="24"/>
          <w:szCs w:val="24"/>
        </w:rPr>
        <w:t xml:space="preserve"> </w:t>
      </w:r>
      <w:r w:rsidRPr="00771E87">
        <w:rPr>
          <w:rFonts w:cstheme="minorHAnsi"/>
          <w:sz w:val="24"/>
          <w:szCs w:val="24"/>
        </w:rPr>
        <w:t>i faktycznego wykorzystania środka trwałego</w:t>
      </w:r>
      <w:r w:rsidR="00AE25A5" w:rsidRPr="00771E87">
        <w:rPr>
          <w:rFonts w:cstheme="minorHAnsi"/>
          <w:sz w:val="24"/>
          <w:szCs w:val="24"/>
        </w:rPr>
        <w:t xml:space="preserve"> </w:t>
      </w:r>
      <w:r w:rsidRPr="00771E87">
        <w:rPr>
          <w:rFonts w:cstheme="minorHAnsi"/>
          <w:sz w:val="24"/>
          <w:szCs w:val="24"/>
        </w:rPr>
        <w:t>w</w:t>
      </w:r>
      <w:r w:rsidR="00F00B76">
        <w:rPr>
          <w:rFonts w:cstheme="minorHAnsi"/>
          <w:sz w:val="24"/>
          <w:szCs w:val="24"/>
        </w:rPr>
        <w:t> </w:t>
      </w:r>
      <w:r w:rsidR="2F71C3DA" w:rsidRPr="00771E87">
        <w:rPr>
          <w:rFonts w:cstheme="minorHAnsi"/>
          <w:sz w:val="24"/>
          <w:szCs w:val="24"/>
        </w:rPr>
        <w:t>przedsięwzięciu MŚP</w:t>
      </w:r>
      <w:r w:rsidRPr="00771E87">
        <w:rPr>
          <w:rFonts w:cstheme="minorHAnsi"/>
          <w:sz w:val="24"/>
          <w:szCs w:val="24"/>
        </w:rPr>
        <w:t>,</w:t>
      </w:r>
    </w:p>
    <w:p w14:paraId="51486C42" w14:textId="10BEE126" w:rsidR="00FE119E" w:rsidRPr="00771E87" w:rsidRDefault="22B6A938" w:rsidP="450F1B5E">
      <w:pPr>
        <w:pStyle w:val="Akapitzlist"/>
        <w:numPr>
          <w:ilvl w:val="0"/>
          <w:numId w:val="1"/>
        </w:numPr>
        <w:autoSpaceDE w:val="0"/>
        <w:autoSpaceDN w:val="0"/>
        <w:adjustRightInd w:val="0"/>
        <w:spacing w:after="0" w:line="360" w:lineRule="auto"/>
        <w:rPr>
          <w:rFonts w:cstheme="minorHAnsi"/>
          <w:sz w:val="24"/>
          <w:szCs w:val="24"/>
        </w:rPr>
      </w:pPr>
      <w:r w:rsidRPr="00771E87">
        <w:rPr>
          <w:rFonts w:cstheme="minorHAnsi"/>
          <w:sz w:val="24"/>
          <w:szCs w:val="24"/>
        </w:rPr>
        <w:t>odpisy amortyzacyjne zostały dokonane zgodnie z właściwymi przepisami prawa krajowego,</w:t>
      </w:r>
    </w:p>
    <w:p w14:paraId="280A746A" w14:textId="266D8697" w:rsidR="00FE119E" w:rsidRPr="00771E87" w:rsidRDefault="314117AD" w:rsidP="450F1B5E">
      <w:pPr>
        <w:pStyle w:val="Akapitzlist"/>
        <w:numPr>
          <w:ilvl w:val="0"/>
          <w:numId w:val="1"/>
        </w:numPr>
        <w:autoSpaceDE w:val="0"/>
        <w:autoSpaceDN w:val="0"/>
        <w:adjustRightInd w:val="0"/>
        <w:spacing w:after="0" w:line="360" w:lineRule="auto"/>
        <w:rPr>
          <w:rFonts w:cstheme="minorHAnsi"/>
          <w:sz w:val="24"/>
          <w:szCs w:val="24"/>
        </w:rPr>
      </w:pPr>
      <w:r w:rsidRPr="00771E87">
        <w:rPr>
          <w:rFonts w:cstheme="minorHAnsi"/>
          <w:sz w:val="24"/>
          <w:szCs w:val="24"/>
        </w:rPr>
        <w:t xml:space="preserve">wydatki poniesione na zakup środków trwałych oraz wartości niematerialnych i prawnych nie zostały zgłoszone jako wydatki kwalifikowalne </w:t>
      </w:r>
      <w:r w:rsidR="3EC5754E" w:rsidRPr="00771E87">
        <w:rPr>
          <w:rFonts w:cstheme="minorHAnsi"/>
          <w:sz w:val="24"/>
          <w:szCs w:val="24"/>
        </w:rPr>
        <w:t>przedsięwzięcia MŚP</w:t>
      </w:r>
      <w:r w:rsidRPr="00771E87">
        <w:rPr>
          <w:rFonts w:cstheme="minorHAnsi"/>
          <w:sz w:val="24"/>
          <w:szCs w:val="24"/>
        </w:rPr>
        <w:t>, ani też ich zakup nie był</w:t>
      </w:r>
      <w:r w:rsidR="28B1CBC9" w:rsidRPr="00771E87">
        <w:rPr>
          <w:rFonts w:cstheme="minorHAnsi"/>
          <w:sz w:val="24"/>
          <w:szCs w:val="24"/>
        </w:rPr>
        <w:t xml:space="preserve"> </w:t>
      </w:r>
      <w:r w:rsidRPr="00771E87">
        <w:rPr>
          <w:rFonts w:cstheme="minorHAnsi"/>
          <w:sz w:val="24"/>
          <w:szCs w:val="24"/>
        </w:rPr>
        <w:t xml:space="preserve">współfinansowany ze środków unijnych (dotyczy to sytuacji, w której </w:t>
      </w:r>
      <w:r w:rsidR="38DBF31B" w:rsidRPr="00771E87">
        <w:rPr>
          <w:rFonts w:cstheme="minorHAnsi"/>
          <w:sz w:val="24"/>
          <w:szCs w:val="24"/>
        </w:rPr>
        <w:t xml:space="preserve">przedsiębiorstwo </w:t>
      </w:r>
      <w:r w:rsidRPr="00771E87">
        <w:rPr>
          <w:rFonts w:cstheme="minorHAnsi"/>
          <w:sz w:val="24"/>
          <w:szCs w:val="24"/>
        </w:rPr>
        <w:t xml:space="preserve">kupuje aktywa na potrzeby </w:t>
      </w:r>
      <w:r w:rsidR="3EC5754E" w:rsidRPr="00771E87">
        <w:rPr>
          <w:rFonts w:cstheme="minorHAnsi"/>
          <w:sz w:val="24"/>
          <w:szCs w:val="24"/>
        </w:rPr>
        <w:t>przedsięwzięcia MŚP</w:t>
      </w:r>
      <w:r w:rsidRPr="00771E87">
        <w:rPr>
          <w:rFonts w:cstheme="minorHAnsi"/>
          <w:sz w:val="24"/>
          <w:szCs w:val="24"/>
        </w:rPr>
        <w:t>, ale nie może zrefundować kosztów zakupu),</w:t>
      </w:r>
    </w:p>
    <w:p w14:paraId="0B2D21F1" w14:textId="28ACC499" w:rsidR="00FE119E" w:rsidRPr="00771E87" w:rsidRDefault="041CE119" w:rsidP="00E57A4B">
      <w:pPr>
        <w:pStyle w:val="Akapitzlist"/>
        <w:numPr>
          <w:ilvl w:val="0"/>
          <w:numId w:val="1"/>
        </w:numPr>
        <w:autoSpaceDE w:val="0"/>
        <w:autoSpaceDN w:val="0"/>
        <w:adjustRightInd w:val="0"/>
        <w:spacing w:after="0" w:line="360" w:lineRule="auto"/>
        <w:ind w:left="360"/>
        <w:rPr>
          <w:rFonts w:cstheme="minorHAnsi"/>
          <w:sz w:val="24"/>
          <w:szCs w:val="24"/>
        </w:rPr>
      </w:pPr>
      <w:r w:rsidRPr="00771E87">
        <w:rPr>
          <w:rFonts w:cstheme="minorHAnsi"/>
          <w:sz w:val="24"/>
          <w:szCs w:val="24"/>
        </w:rPr>
        <w:t>odpisy amortyzacyjne dotyczą środków trwałych oraz wartości niematerialnych i prawnych, które zostały zakupione w sposób racjonalny i efektywny, tj. ich ceny nie są zawyżone</w:t>
      </w:r>
      <w:r w:rsidR="53B1EA56" w:rsidRPr="00771E87">
        <w:rPr>
          <w:rFonts w:cstheme="minorHAnsi"/>
          <w:sz w:val="24"/>
          <w:szCs w:val="24"/>
        </w:rPr>
        <w:t xml:space="preserve"> </w:t>
      </w:r>
      <w:r w:rsidRPr="00771E87">
        <w:rPr>
          <w:rFonts w:cstheme="minorHAnsi"/>
          <w:sz w:val="24"/>
          <w:szCs w:val="24"/>
        </w:rPr>
        <w:t>w</w:t>
      </w:r>
      <w:r w:rsidR="00F00B76">
        <w:rPr>
          <w:rFonts w:cstheme="minorHAnsi"/>
          <w:sz w:val="24"/>
          <w:szCs w:val="24"/>
        </w:rPr>
        <w:t> </w:t>
      </w:r>
      <w:r w:rsidRPr="00771E87">
        <w:rPr>
          <w:rFonts w:cstheme="minorHAnsi"/>
          <w:sz w:val="24"/>
          <w:szCs w:val="24"/>
        </w:rPr>
        <w:t>stosunku do cen i stawek rynkowych,</w:t>
      </w:r>
    </w:p>
    <w:p w14:paraId="4AA65406" w14:textId="08A762CB" w:rsidR="00E65F10" w:rsidRPr="00771E87" w:rsidRDefault="0DBD0A83" w:rsidP="0000555D">
      <w:pPr>
        <w:pStyle w:val="Akapitzlist"/>
        <w:numPr>
          <w:ilvl w:val="0"/>
          <w:numId w:val="1"/>
        </w:numPr>
        <w:autoSpaceDE w:val="0"/>
        <w:autoSpaceDN w:val="0"/>
        <w:adjustRightInd w:val="0"/>
        <w:spacing w:after="480" w:line="360" w:lineRule="auto"/>
        <w:ind w:left="714" w:hanging="357"/>
        <w:rPr>
          <w:rFonts w:cstheme="minorHAnsi"/>
          <w:sz w:val="24"/>
          <w:szCs w:val="24"/>
        </w:rPr>
      </w:pPr>
      <w:r w:rsidRPr="00771E87">
        <w:rPr>
          <w:rFonts w:cstheme="minorHAnsi"/>
          <w:sz w:val="24"/>
          <w:szCs w:val="24"/>
        </w:rPr>
        <w:t>w przypadku, gdy środki trwałe oraz wartości niematerialne i prawne wykorzystywane</w:t>
      </w:r>
      <w:r w:rsidR="67C94A28" w:rsidRPr="00771E87">
        <w:rPr>
          <w:rFonts w:cstheme="minorHAnsi"/>
          <w:sz w:val="24"/>
          <w:szCs w:val="24"/>
        </w:rPr>
        <w:t xml:space="preserve"> </w:t>
      </w:r>
      <w:r w:rsidRPr="00771E87">
        <w:rPr>
          <w:rFonts w:cstheme="minorHAnsi"/>
          <w:sz w:val="24"/>
          <w:szCs w:val="24"/>
        </w:rPr>
        <w:t xml:space="preserve">są także w innych celach niż realizacja </w:t>
      </w:r>
      <w:r w:rsidR="2F71C3DA" w:rsidRPr="00771E87">
        <w:rPr>
          <w:rFonts w:cstheme="minorHAnsi"/>
          <w:sz w:val="24"/>
          <w:szCs w:val="24"/>
        </w:rPr>
        <w:t>przedsięwzięcia MŚP</w:t>
      </w:r>
      <w:r w:rsidRPr="00771E87">
        <w:rPr>
          <w:rFonts w:cstheme="minorHAnsi"/>
          <w:sz w:val="24"/>
          <w:szCs w:val="24"/>
        </w:rPr>
        <w:t>, kwalifikowalna jest tylko ta</w:t>
      </w:r>
      <w:r w:rsidR="0000555D" w:rsidRPr="00771E87">
        <w:rPr>
          <w:rFonts w:cstheme="minorHAnsi"/>
          <w:sz w:val="24"/>
          <w:szCs w:val="24"/>
        </w:rPr>
        <w:t> </w:t>
      </w:r>
      <w:r w:rsidRPr="00771E87">
        <w:rPr>
          <w:rFonts w:cstheme="minorHAnsi"/>
          <w:sz w:val="24"/>
          <w:szCs w:val="24"/>
        </w:rPr>
        <w:t xml:space="preserve">część </w:t>
      </w:r>
      <w:r w:rsidR="0000555D" w:rsidRPr="00771E87">
        <w:rPr>
          <w:rFonts w:cstheme="minorHAnsi"/>
          <w:sz w:val="24"/>
          <w:szCs w:val="24"/>
        </w:rPr>
        <w:t> </w:t>
      </w:r>
      <w:r w:rsidRPr="00771E87">
        <w:rPr>
          <w:rFonts w:cstheme="minorHAnsi"/>
          <w:sz w:val="24"/>
          <w:szCs w:val="24"/>
        </w:rPr>
        <w:t xml:space="preserve">odpisu amortyzacyjnego, która odpowiada proporcji wykorzystania aktywów w </w:t>
      </w:r>
      <w:r w:rsidR="0000555D" w:rsidRPr="00771E87">
        <w:rPr>
          <w:rFonts w:cstheme="minorHAnsi"/>
          <w:sz w:val="24"/>
          <w:szCs w:val="24"/>
        </w:rPr>
        <w:t> </w:t>
      </w:r>
      <w:r w:rsidRPr="00771E87">
        <w:rPr>
          <w:rFonts w:cstheme="minorHAnsi"/>
          <w:sz w:val="24"/>
          <w:szCs w:val="24"/>
        </w:rPr>
        <w:t xml:space="preserve">celu realizacji </w:t>
      </w:r>
      <w:r w:rsidR="2F71C3DA" w:rsidRPr="00771E87">
        <w:rPr>
          <w:rFonts w:cstheme="minorHAnsi"/>
          <w:sz w:val="24"/>
          <w:szCs w:val="24"/>
        </w:rPr>
        <w:t>przedsięwzięcia MŚP</w:t>
      </w:r>
      <w:r w:rsidRPr="00771E87">
        <w:rPr>
          <w:rFonts w:cstheme="minorHAnsi"/>
          <w:sz w:val="24"/>
          <w:szCs w:val="24"/>
        </w:rPr>
        <w:t>.</w:t>
      </w:r>
    </w:p>
    <w:p w14:paraId="241F804D" w14:textId="6BBE49FC" w:rsidR="00F20F5B" w:rsidRPr="00771E87" w:rsidRDefault="439661B0" w:rsidP="0000555D">
      <w:pPr>
        <w:pStyle w:val="NCBR2Nagowek"/>
        <w:spacing w:after="360"/>
        <w:rPr>
          <w:rFonts w:asciiTheme="minorHAnsi" w:hAnsiTheme="minorHAnsi" w:cstheme="minorHAnsi"/>
          <w:sz w:val="24"/>
          <w:szCs w:val="24"/>
        </w:rPr>
      </w:pPr>
      <w:bookmarkStart w:id="52" w:name="_Toc153712613"/>
      <w:bookmarkStart w:id="53" w:name="_Toc162526826"/>
      <w:r w:rsidRPr="00771E87">
        <w:rPr>
          <w:rFonts w:asciiTheme="minorHAnsi" w:hAnsiTheme="minorHAnsi" w:cstheme="minorHAnsi"/>
          <w:sz w:val="24"/>
          <w:szCs w:val="24"/>
        </w:rPr>
        <w:t>4.</w:t>
      </w:r>
      <w:r w:rsidR="6792EE6C" w:rsidRPr="00771E87">
        <w:rPr>
          <w:rFonts w:asciiTheme="minorHAnsi" w:hAnsiTheme="minorHAnsi" w:cstheme="minorHAnsi"/>
          <w:sz w:val="24"/>
          <w:szCs w:val="24"/>
        </w:rPr>
        <w:t>5</w:t>
      </w:r>
      <w:r w:rsidRPr="00771E87">
        <w:rPr>
          <w:rFonts w:asciiTheme="minorHAnsi" w:hAnsiTheme="minorHAnsi" w:cstheme="minorHAnsi"/>
          <w:sz w:val="24"/>
          <w:szCs w:val="24"/>
        </w:rPr>
        <w:t xml:space="preserve"> </w:t>
      </w:r>
      <w:r w:rsidR="555175BF" w:rsidRPr="00771E87">
        <w:rPr>
          <w:rFonts w:asciiTheme="minorHAnsi" w:hAnsiTheme="minorHAnsi" w:cstheme="minorHAnsi"/>
          <w:sz w:val="24"/>
          <w:szCs w:val="24"/>
        </w:rPr>
        <w:t>Roboty budowlane</w:t>
      </w:r>
      <w:bookmarkEnd w:id="52"/>
      <w:bookmarkEnd w:id="53"/>
    </w:p>
    <w:p w14:paraId="1EA24DEF" w14:textId="48F3B57B" w:rsidR="00A96622" w:rsidRPr="00771E87" w:rsidRDefault="6715D8C9" w:rsidP="5C24ED9C">
      <w:pPr>
        <w:pStyle w:val="Default"/>
        <w:spacing w:line="360" w:lineRule="auto"/>
        <w:rPr>
          <w:rFonts w:asciiTheme="minorHAnsi" w:hAnsiTheme="minorHAnsi" w:cstheme="minorHAnsi"/>
        </w:rPr>
      </w:pPr>
      <w:r w:rsidRPr="00771E87">
        <w:rPr>
          <w:rFonts w:asciiTheme="minorHAnsi" w:hAnsiTheme="minorHAnsi" w:cstheme="minorHAnsi"/>
        </w:rPr>
        <w:t xml:space="preserve">Za wydatki związane z robotami/pracami budowlanymi uznaje się wydatki na zakup materiałów budowlanych </w:t>
      </w:r>
      <w:r w:rsidR="00AF2CB7" w:rsidRPr="00771E87">
        <w:rPr>
          <w:rFonts w:asciiTheme="minorHAnsi" w:hAnsiTheme="minorHAnsi" w:cstheme="minorHAnsi"/>
        </w:rPr>
        <w:t>i</w:t>
      </w:r>
      <w:r w:rsidRPr="00771E87">
        <w:rPr>
          <w:rFonts w:asciiTheme="minorHAnsi" w:hAnsiTheme="minorHAnsi" w:cstheme="minorHAnsi"/>
        </w:rPr>
        <w:t xml:space="preserve"> robót budowlanych (np. robót konstrukcyjnych, montażowych, instalacyjnych).</w:t>
      </w:r>
    </w:p>
    <w:p w14:paraId="08E61E1A" w14:textId="60C7629F" w:rsidR="00A96622" w:rsidRPr="00771E87" w:rsidRDefault="6715D8C9" w:rsidP="5C24ED9C">
      <w:pPr>
        <w:keepLines/>
        <w:widowControl w:val="0"/>
        <w:spacing w:after="0" w:line="360" w:lineRule="auto"/>
        <w:rPr>
          <w:rFonts w:cstheme="minorHAnsi"/>
          <w:sz w:val="24"/>
          <w:szCs w:val="24"/>
        </w:rPr>
      </w:pPr>
      <w:r w:rsidRPr="00771E87">
        <w:rPr>
          <w:rFonts w:cstheme="minorHAnsi"/>
          <w:sz w:val="24"/>
          <w:szCs w:val="24"/>
        </w:rPr>
        <w:t>Wydatki na roboty/prace budowlane mogą być uznane za wydatki kwalifikowalne, jeśli tak stanowi umowa o objęci</w:t>
      </w:r>
      <w:r w:rsidR="705C8735" w:rsidRPr="00771E87">
        <w:rPr>
          <w:rFonts w:cstheme="minorHAnsi"/>
          <w:sz w:val="24"/>
          <w:szCs w:val="24"/>
        </w:rPr>
        <w:t>e</w:t>
      </w:r>
      <w:r w:rsidRPr="00771E87">
        <w:rPr>
          <w:rFonts w:cstheme="minorHAnsi"/>
          <w:sz w:val="24"/>
          <w:szCs w:val="24"/>
        </w:rPr>
        <w:t xml:space="preserve"> przedsięwzięcia</w:t>
      </w:r>
      <w:r w:rsidR="129C0AD0" w:rsidRPr="00771E87">
        <w:rPr>
          <w:rFonts w:cstheme="minorHAnsi"/>
          <w:sz w:val="24"/>
          <w:szCs w:val="24"/>
        </w:rPr>
        <w:t xml:space="preserve"> MŚP</w:t>
      </w:r>
      <w:r w:rsidRPr="00771E87">
        <w:rPr>
          <w:rFonts w:cstheme="minorHAnsi"/>
          <w:sz w:val="24"/>
          <w:szCs w:val="24"/>
        </w:rPr>
        <w:t xml:space="preserve"> wsparciem i jeżeli są niezbędne dla realizacji </w:t>
      </w:r>
      <w:r w:rsidR="7E792301" w:rsidRPr="00771E87">
        <w:rPr>
          <w:rFonts w:cstheme="minorHAnsi"/>
          <w:sz w:val="24"/>
          <w:szCs w:val="24"/>
        </w:rPr>
        <w:t>przedsięwzięcia MŚP</w:t>
      </w:r>
      <w:r w:rsidRPr="00771E87">
        <w:rPr>
          <w:rFonts w:cstheme="minorHAnsi"/>
          <w:sz w:val="24"/>
          <w:szCs w:val="24"/>
        </w:rPr>
        <w:t xml:space="preserve">. Należy jednak pamiętać, że wykonane prace budowlane mają zwiększać odporność i gotowość </w:t>
      </w:r>
      <w:r w:rsidR="1F31480E" w:rsidRPr="00771E87">
        <w:rPr>
          <w:rFonts w:cstheme="minorHAnsi"/>
          <w:sz w:val="24"/>
          <w:szCs w:val="24"/>
        </w:rPr>
        <w:t xml:space="preserve">przedsiębiorstw </w:t>
      </w:r>
      <w:r w:rsidRPr="00771E87">
        <w:rPr>
          <w:rFonts w:cstheme="minorHAnsi"/>
          <w:sz w:val="24"/>
          <w:szCs w:val="24"/>
        </w:rPr>
        <w:t xml:space="preserve">na wypadek </w:t>
      </w:r>
      <w:r w:rsidR="1F31480E" w:rsidRPr="00771E87">
        <w:rPr>
          <w:rFonts w:cstheme="minorHAnsi"/>
          <w:sz w:val="24"/>
          <w:szCs w:val="24"/>
        </w:rPr>
        <w:t xml:space="preserve">wystąpienia </w:t>
      </w:r>
      <w:r w:rsidRPr="00771E87">
        <w:rPr>
          <w:rFonts w:cstheme="minorHAnsi"/>
          <w:sz w:val="24"/>
          <w:szCs w:val="24"/>
        </w:rPr>
        <w:t>sytuacji kryzysowych</w:t>
      </w:r>
      <w:r w:rsidR="1F31480E" w:rsidRPr="00771E87">
        <w:rPr>
          <w:rFonts w:cstheme="minorHAnsi"/>
          <w:sz w:val="24"/>
          <w:szCs w:val="24"/>
        </w:rPr>
        <w:t>,</w:t>
      </w:r>
      <w:r w:rsidR="1F31480E" w:rsidRPr="00771E87">
        <w:rPr>
          <w:rFonts w:cstheme="minorHAnsi"/>
          <w:sz w:val="24"/>
          <w:szCs w:val="24"/>
          <w:lang w:eastAsia="pl-PL"/>
        </w:rPr>
        <w:t xml:space="preserve"> mają na celu</w:t>
      </w:r>
      <w:r w:rsidR="460C3140" w:rsidRPr="00771E87">
        <w:rPr>
          <w:rFonts w:cstheme="minorHAnsi"/>
          <w:sz w:val="24"/>
          <w:szCs w:val="24"/>
          <w:lang w:eastAsia="pl-PL"/>
        </w:rPr>
        <w:t xml:space="preserve"> rozszerzenie lub</w:t>
      </w:r>
      <w:r w:rsidR="1F31480E" w:rsidRPr="00771E87">
        <w:rPr>
          <w:rFonts w:cstheme="minorHAnsi"/>
          <w:sz w:val="24"/>
          <w:szCs w:val="24"/>
          <w:lang w:eastAsia="pl-PL"/>
        </w:rPr>
        <w:t xml:space="preserve"> dywersyfikację działalności przedsiębiorstw, dostosowanie działalności do zmieniających</w:t>
      </w:r>
      <w:r w:rsidR="000E2C89" w:rsidRPr="00771E87">
        <w:rPr>
          <w:rFonts w:cstheme="minorHAnsi"/>
          <w:sz w:val="24"/>
          <w:szCs w:val="24"/>
          <w:lang w:eastAsia="pl-PL"/>
        </w:rPr>
        <w:t xml:space="preserve"> </w:t>
      </w:r>
      <w:r w:rsidR="1F31480E" w:rsidRPr="00771E87">
        <w:rPr>
          <w:rFonts w:cstheme="minorHAnsi"/>
          <w:sz w:val="24"/>
          <w:szCs w:val="24"/>
          <w:lang w:eastAsia="pl-PL"/>
        </w:rPr>
        <w:t>się trendów i potrzeb rynku, nie może to być zwykła modernizacja czy remont służący wykonywaniu dotychczasowej działalności.</w:t>
      </w:r>
    </w:p>
    <w:p w14:paraId="743AA558" w14:textId="24B87CD9" w:rsidR="00A96622" w:rsidRPr="00771E87" w:rsidRDefault="1F31480E" w:rsidP="5C24ED9C">
      <w:pPr>
        <w:autoSpaceDE w:val="0"/>
        <w:autoSpaceDN w:val="0"/>
        <w:adjustRightInd w:val="0"/>
        <w:spacing w:after="0" w:line="360" w:lineRule="auto"/>
        <w:rPr>
          <w:rFonts w:cstheme="minorHAnsi"/>
          <w:sz w:val="24"/>
          <w:szCs w:val="24"/>
        </w:rPr>
      </w:pPr>
      <w:r w:rsidRPr="00771E87">
        <w:rPr>
          <w:rFonts w:cstheme="minorHAnsi"/>
          <w:sz w:val="24"/>
          <w:szCs w:val="24"/>
        </w:rPr>
        <w:t xml:space="preserve">Roboty budowlane powinny być prowadzone zgodnie z obowiązującymi przepisami prawa, w tym ustawą </w:t>
      </w:r>
      <w:r w:rsidR="7B7A6B8A" w:rsidRPr="00771E87">
        <w:rPr>
          <w:rFonts w:cstheme="minorHAnsi"/>
          <w:sz w:val="24"/>
          <w:szCs w:val="24"/>
        </w:rPr>
        <w:t xml:space="preserve">z dnia 7 lipca 1994 r. </w:t>
      </w:r>
      <w:r w:rsidRPr="00771E87">
        <w:rPr>
          <w:rFonts w:cstheme="minorHAnsi"/>
          <w:sz w:val="24"/>
          <w:szCs w:val="24"/>
        </w:rPr>
        <w:t>- Prawo budowlane</w:t>
      </w:r>
      <w:r w:rsidR="4E4831A5" w:rsidRPr="00771E87">
        <w:rPr>
          <w:rFonts w:cstheme="minorHAnsi"/>
          <w:sz w:val="24"/>
          <w:szCs w:val="24"/>
        </w:rPr>
        <w:t xml:space="preserve"> (Dz. U. z 2023 r. poz. 682, z </w:t>
      </w:r>
      <w:proofErr w:type="spellStart"/>
      <w:r w:rsidR="4E4831A5" w:rsidRPr="00771E87">
        <w:rPr>
          <w:rFonts w:cstheme="minorHAnsi"/>
          <w:sz w:val="24"/>
          <w:szCs w:val="24"/>
        </w:rPr>
        <w:t>późn</w:t>
      </w:r>
      <w:proofErr w:type="spellEnd"/>
      <w:r w:rsidR="4E4831A5" w:rsidRPr="00771E87">
        <w:rPr>
          <w:rFonts w:cstheme="minorHAnsi"/>
          <w:sz w:val="24"/>
          <w:szCs w:val="24"/>
        </w:rPr>
        <w:t>. zm.)</w:t>
      </w:r>
      <w:r w:rsidRPr="00771E87">
        <w:rPr>
          <w:rFonts w:cstheme="minorHAnsi"/>
          <w:sz w:val="24"/>
          <w:szCs w:val="24"/>
        </w:rPr>
        <w:t>.</w:t>
      </w:r>
    </w:p>
    <w:p w14:paraId="07924A52" w14:textId="1EA175A6" w:rsidR="00575415" w:rsidRPr="00771E87" w:rsidRDefault="004A4994" w:rsidP="00B25D62">
      <w:pPr>
        <w:autoSpaceDE w:val="0"/>
        <w:autoSpaceDN w:val="0"/>
        <w:adjustRightInd w:val="0"/>
        <w:spacing w:after="0" w:line="360" w:lineRule="auto"/>
        <w:rPr>
          <w:rFonts w:cstheme="minorHAnsi"/>
          <w:sz w:val="24"/>
          <w:szCs w:val="24"/>
        </w:rPr>
      </w:pPr>
      <w:r w:rsidRPr="00771E87">
        <w:rPr>
          <w:rFonts w:cstheme="minorHAnsi"/>
          <w:iCs/>
          <w:sz w:val="24"/>
          <w:szCs w:val="24"/>
        </w:rPr>
        <w:lastRenderedPageBreak/>
        <w:t>W przypadku, gdy z projektu budowlanego wynika konieczność przebudowy</w:t>
      </w:r>
      <w:r w:rsidR="00F80C5B" w:rsidRPr="00771E87">
        <w:rPr>
          <w:rFonts w:cstheme="minorHAnsi"/>
          <w:iCs/>
          <w:sz w:val="24"/>
          <w:szCs w:val="24"/>
        </w:rPr>
        <w:t xml:space="preserve"> </w:t>
      </w:r>
      <w:r w:rsidRPr="00771E87">
        <w:rPr>
          <w:rFonts w:cstheme="minorHAnsi"/>
          <w:iCs/>
          <w:sz w:val="24"/>
          <w:szCs w:val="24"/>
        </w:rPr>
        <w:t>urządzeń obcych</w:t>
      </w:r>
      <w:r w:rsidR="005C1C27" w:rsidRPr="00771E87">
        <w:rPr>
          <w:rFonts w:cstheme="minorHAnsi"/>
          <w:iCs/>
          <w:sz w:val="24"/>
          <w:szCs w:val="24"/>
        </w:rPr>
        <w:t xml:space="preserve"> </w:t>
      </w:r>
      <w:r w:rsidRPr="00771E87">
        <w:rPr>
          <w:rFonts w:cstheme="minorHAnsi"/>
          <w:iCs/>
          <w:sz w:val="24"/>
          <w:szCs w:val="24"/>
        </w:rPr>
        <w:t xml:space="preserve">i jest ona niezbędna dla realizacji </w:t>
      </w:r>
      <w:r w:rsidR="001B2F3A" w:rsidRPr="00771E87">
        <w:rPr>
          <w:rFonts w:cstheme="minorHAnsi"/>
          <w:iCs/>
          <w:sz w:val="24"/>
          <w:szCs w:val="24"/>
        </w:rPr>
        <w:t>przedsięwzięcia MŚP</w:t>
      </w:r>
      <w:r w:rsidRPr="00771E87">
        <w:rPr>
          <w:rFonts w:cstheme="minorHAnsi"/>
          <w:iCs/>
          <w:sz w:val="24"/>
          <w:szCs w:val="24"/>
        </w:rPr>
        <w:t>, wydatki związane</w:t>
      </w:r>
      <w:r w:rsidR="00F80C5B" w:rsidRPr="00771E87">
        <w:rPr>
          <w:rFonts w:cstheme="minorHAnsi"/>
          <w:iCs/>
          <w:sz w:val="24"/>
          <w:szCs w:val="24"/>
        </w:rPr>
        <w:t xml:space="preserve"> </w:t>
      </w:r>
      <w:r w:rsidRPr="00771E87">
        <w:rPr>
          <w:rFonts w:cstheme="minorHAnsi"/>
          <w:iCs/>
          <w:sz w:val="24"/>
          <w:szCs w:val="24"/>
        </w:rPr>
        <w:t>z ww. pracami mogą być uznane za kwalifikowalne. Powyższe ma zastosowanie</w:t>
      </w:r>
      <w:r w:rsidR="00F80C5B" w:rsidRPr="00771E87">
        <w:rPr>
          <w:rFonts w:cstheme="minorHAnsi"/>
          <w:iCs/>
          <w:sz w:val="24"/>
          <w:szCs w:val="24"/>
        </w:rPr>
        <w:t xml:space="preserve"> </w:t>
      </w:r>
      <w:r w:rsidRPr="00771E87">
        <w:rPr>
          <w:rFonts w:cstheme="minorHAnsi"/>
          <w:iCs/>
          <w:sz w:val="24"/>
          <w:szCs w:val="24"/>
        </w:rPr>
        <w:t>jedynie w odniesieniu do prac niezbędnych z punktu widzenia prawidłowej realizacji</w:t>
      </w:r>
      <w:r w:rsidR="00F80C5B" w:rsidRPr="00771E87">
        <w:rPr>
          <w:rFonts w:cstheme="minorHAnsi"/>
          <w:iCs/>
          <w:sz w:val="24"/>
          <w:szCs w:val="24"/>
        </w:rPr>
        <w:t xml:space="preserve"> </w:t>
      </w:r>
      <w:r w:rsidR="00C848B7" w:rsidRPr="00771E87">
        <w:rPr>
          <w:rFonts w:cstheme="minorHAnsi"/>
          <w:iCs/>
          <w:sz w:val="24"/>
          <w:szCs w:val="24"/>
        </w:rPr>
        <w:t>przedsięwzięcia MŚP</w:t>
      </w:r>
      <w:r w:rsidR="00537836" w:rsidRPr="00771E87">
        <w:rPr>
          <w:rFonts w:cstheme="minorHAnsi"/>
          <w:iCs/>
          <w:sz w:val="24"/>
          <w:szCs w:val="24"/>
        </w:rPr>
        <w:t xml:space="preserve"> </w:t>
      </w:r>
      <w:r w:rsidRPr="00771E87">
        <w:rPr>
          <w:rFonts w:cstheme="minorHAnsi"/>
          <w:iCs/>
          <w:sz w:val="24"/>
          <w:szCs w:val="24"/>
        </w:rPr>
        <w:t>oraz w zakresie, w jakim obowiązek poniesienia ww. wydatków wynika</w:t>
      </w:r>
      <w:r w:rsidR="00F80C5B" w:rsidRPr="00771E87">
        <w:rPr>
          <w:rFonts w:cstheme="minorHAnsi"/>
          <w:iCs/>
          <w:sz w:val="24"/>
          <w:szCs w:val="24"/>
        </w:rPr>
        <w:t xml:space="preserve"> </w:t>
      </w:r>
      <w:r w:rsidRPr="00771E87">
        <w:rPr>
          <w:rFonts w:cstheme="minorHAnsi"/>
          <w:iCs/>
          <w:sz w:val="24"/>
          <w:szCs w:val="24"/>
        </w:rPr>
        <w:t xml:space="preserve">z przepisów prawa, w tym z warunków technicznych usunięcia kolizji, </w:t>
      </w:r>
      <w:r w:rsidR="00537836" w:rsidRPr="00771E87">
        <w:rPr>
          <w:rFonts w:cstheme="minorHAnsi"/>
          <w:iCs/>
          <w:sz w:val="24"/>
          <w:szCs w:val="24"/>
        </w:rPr>
        <w:t>wydanych przez właścicieli urządzeń obcych.</w:t>
      </w:r>
      <w:r w:rsidRPr="00771E87">
        <w:rPr>
          <w:rFonts w:cstheme="minorHAnsi"/>
          <w:iCs/>
          <w:sz w:val="24"/>
          <w:szCs w:val="24"/>
        </w:rPr>
        <w:t xml:space="preserve"> </w:t>
      </w:r>
    </w:p>
    <w:p w14:paraId="2D51A3A6" w14:textId="0FF05AD1" w:rsidR="00575415" w:rsidRPr="00771E87" w:rsidRDefault="00575415" w:rsidP="00B25D62">
      <w:pPr>
        <w:pStyle w:val="Default"/>
        <w:spacing w:line="360" w:lineRule="auto"/>
        <w:rPr>
          <w:rFonts w:asciiTheme="minorHAnsi" w:hAnsiTheme="minorHAnsi" w:cstheme="minorHAnsi"/>
        </w:rPr>
      </w:pPr>
    </w:p>
    <w:p w14:paraId="3656D2F6" w14:textId="03E246DE" w:rsidR="004D51A3" w:rsidRPr="00771E87" w:rsidRDefault="45597B65" w:rsidP="450F1B5E">
      <w:pPr>
        <w:pStyle w:val="Default"/>
        <w:spacing w:line="360" w:lineRule="auto"/>
        <w:rPr>
          <w:rFonts w:asciiTheme="minorHAnsi" w:hAnsiTheme="minorHAnsi" w:cstheme="minorHAnsi"/>
          <w:color w:val="auto"/>
        </w:rPr>
      </w:pPr>
      <w:r w:rsidRPr="00771E87">
        <w:rPr>
          <w:rFonts w:asciiTheme="minorHAnsi" w:hAnsiTheme="minorHAnsi" w:cstheme="minorHAnsi"/>
          <w:color w:val="auto"/>
        </w:rPr>
        <w:t>Wydatki na nabycie usług związanych z wykonywaniem czynności w ramach nadzoru i/lub prowadzenia inwestycji (np. inspektor nadzoru, nadzór autorski, nadzór konserwatorski, nadzór inwestorski, inżynier kontraktu wg wymagań FIDIC, inwestor zastępczy) nad wykonywanymi robotami budowlanymi stanowią wydatki kwalifikowalne pod warunkiem, że cena ich nabycia nie przekracza wartości rynkowej usług tego rodzaju</w:t>
      </w:r>
      <w:r w:rsidR="6A038023" w:rsidRPr="00771E87">
        <w:rPr>
          <w:rFonts w:asciiTheme="minorHAnsi" w:hAnsiTheme="minorHAnsi" w:cstheme="minorHAnsi"/>
          <w:color w:val="auto"/>
        </w:rPr>
        <w:t>.</w:t>
      </w:r>
    </w:p>
    <w:p w14:paraId="3825EBB5" w14:textId="7E0EBAC4" w:rsidR="00F20F5B" w:rsidRPr="00771E87" w:rsidRDefault="182429B2" w:rsidP="0000555D">
      <w:pPr>
        <w:pStyle w:val="Default"/>
        <w:spacing w:after="480" w:line="360" w:lineRule="auto"/>
        <w:rPr>
          <w:rFonts w:asciiTheme="minorHAnsi" w:hAnsiTheme="minorHAnsi" w:cstheme="minorHAnsi"/>
          <w:color w:val="auto"/>
        </w:rPr>
      </w:pPr>
      <w:r w:rsidRPr="00771E87">
        <w:rPr>
          <w:rFonts w:asciiTheme="minorHAnsi" w:hAnsiTheme="minorHAnsi" w:cstheme="minorHAnsi"/>
          <w:color w:val="auto"/>
        </w:rPr>
        <w:t>Przy rozliczaniu kosztów robót budowlanych, w tym budowy i montażu nowych linii produkcyjnych, wymagane jest przedstawienie świadectwa ukończenia wystawionego zgodnie</w:t>
      </w:r>
      <w:r w:rsidR="6BBE8097" w:rsidRPr="00771E87">
        <w:rPr>
          <w:rFonts w:asciiTheme="minorHAnsi" w:hAnsiTheme="minorHAnsi" w:cstheme="minorHAnsi"/>
          <w:color w:val="auto"/>
        </w:rPr>
        <w:t xml:space="preserve"> </w:t>
      </w:r>
      <w:r w:rsidRPr="00771E87">
        <w:rPr>
          <w:rFonts w:asciiTheme="minorHAnsi" w:hAnsiTheme="minorHAnsi" w:cstheme="minorHAnsi"/>
          <w:color w:val="auto"/>
        </w:rPr>
        <w:t>z</w:t>
      </w:r>
      <w:r w:rsidR="00F00B76">
        <w:rPr>
          <w:rFonts w:asciiTheme="minorHAnsi" w:hAnsiTheme="minorHAnsi" w:cstheme="minorHAnsi"/>
          <w:color w:val="auto"/>
        </w:rPr>
        <w:t> </w:t>
      </w:r>
      <w:r w:rsidRPr="00771E87">
        <w:rPr>
          <w:rFonts w:asciiTheme="minorHAnsi" w:hAnsiTheme="minorHAnsi" w:cstheme="minorHAnsi"/>
          <w:color w:val="auto"/>
        </w:rPr>
        <w:t>przepisami krajowymi.</w:t>
      </w:r>
    </w:p>
    <w:p w14:paraId="725A433E" w14:textId="293961F8" w:rsidR="0080100B" w:rsidRPr="00771E87" w:rsidRDefault="439661B0" w:rsidP="0000555D">
      <w:pPr>
        <w:pStyle w:val="NCBR2Nagowek"/>
        <w:spacing w:after="360"/>
        <w:rPr>
          <w:rFonts w:asciiTheme="minorHAnsi" w:hAnsiTheme="minorHAnsi" w:cstheme="minorHAnsi"/>
          <w:sz w:val="24"/>
          <w:szCs w:val="24"/>
        </w:rPr>
      </w:pPr>
      <w:bookmarkStart w:id="54" w:name="_Toc153712614"/>
      <w:bookmarkStart w:id="55" w:name="_Toc162526827"/>
      <w:r w:rsidRPr="00771E87">
        <w:rPr>
          <w:rFonts w:asciiTheme="minorHAnsi" w:hAnsiTheme="minorHAnsi" w:cstheme="minorHAnsi"/>
          <w:sz w:val="24"/>
          <w:szCs w:val="24"/>
        </w:rPr>
        <w:t>4.</w:t>
      </w:r>
      <w:r w:rsidR="17C1DEA2" w:rsidRPr="00771E87">
        <w:rPr>
          <w:rFonts w:asciiTheme="minorHAnsi" w:hAnsiTheme="minorHAnsi" w:cstheme="minorHAnsi"/>
          <w:sz w:val="24"/>
          <w:szCs w:val="24"/>
        </w:rPr>
        <w:t>6</w:t>
      </w:r>
      <w:r w:rsidRPr="00771E87">
        <w:rPr>
          <w:rFonts w:asciiTheme="minorHAnsi" w:hAnsiTheme="minorHAnsi" w:cstheme="minorHAnsi"/>
          <w:sz w:val="24"/>
          <w:szCs w:val="24"/>
        </w:rPr>
        <w:t xml:space="preserve"> </w:t>
      </w:r>
      <w:r w:rsidR="65398A2F" w:rsidRPr="00771E87">
        <w:rPr>
          <w:rFonts w:asciiTheme="minorHAnsi" w:hAnsiTheme="minorHAnsi" w:cstheme="minorHAnsi"/>
          <w:sz w:val="24"/>
          <w:szCs w:val="24"/>
        </w:rPr>
        <w:t xml:space="preserve">Koszty związane z zieloną </w:t>
      </w:r>
      <w:r w:rsidR="4360E886" w:rsidRPr="00771E87">
        <w:rPr>
          <w:rFonts w:asciiTheme="minorHAnsi" w:hAnsiTheme="minorHAnsi" w:cstheme="minorHAnsi"/>
          <w:sz w:val="24"/>
          <w:szCs w:val="24"/>
        </w:rPr>
        <w:t>transformacją</w:t>
      </w:r>
      <w:bookmarkEnd w:id="54"/>
      <w:bookmarkEnd w:id="55"/>
    </w:p>
    <w:p w14:paraId="44967A91" w14:textId="5ED78D70" w:rsidR="00F20F5B" w:rsidRPr="00771E87" w:rsidRDefault="61DAA8A8" w:rsidP="0000555D">
      <w:pPr>
        <w:keepLines/>
        <w:widowControl w:val="0"/>
        <w:spacing w:after="360" w:line="360" w:lineRule="auto"/>
        <w:rPr>
          <w:rFonts w:cstheme="minorHAnsi"/>
          <w:sz w:val="24"/>
          <w:szCs w:val="24"/>
        </w:rPr>
      </w:pPr>
      <w:r w:rsidRPr="00771E87">
        <w:rPr>
          <w:rFonts w:cstheme="minorHAnsi"/>
          <w:sz w:val="24"/>
          <w:szCs w:val="24"/>
        </w:rPr>
        <w:t>Koszty związane z zieloną transformacją maj</w:t>
      </w:r>
      <w:r w:rsidR="0C4E490B" w:rsidRPr="00771E87">
        <w:rPr>
          <w:rFonts w:cstheme="minorHAnsi"/>
          <w:sz w:val="24"/>
          <w:szCs w:val="24"/>
        </w:rPr>
        <w:t>ą</w:t>
      </w:r>
      <w:r w:rsidRPr="00771E87">
        <w:rPr>
          <w:rFonts w:cstheme="minorHAnsi"/>
          <w:sz w:val="24"/>
          <w:szCs w:val="24"/>
        </w:rPr>
        <w:t xml:space="preserve"> charakter wspierający lub uzupełniający główny cel przedsięwzięcia MŚP</w:t>
      </w:r>
      <w:r w:rsidR="0C4E490B" w:rsidRPr="00771E87">
        <w:rPr>
          <w:rFonts w:cstheme="minorHAnsi"/>
          <w:sz w:val="24"/>
          <w:szCs w:val="24"/>
        </w:rPr>
        <w:t>,</w:t>
      </w:r>
      <w:r w:rsidRPr="00771E87">
        <w:rPr>
          <w:rFonts w:cstheme="minorHAnsi"/>
          <w:sz w:val="24"/>
          <w:szCs w:val="24"/>
        </w:rPr>
        <w:t xml:space="preserve"> jakim jest rozszerzenie lub dywersyfikacja prowadzonej działalności. Koszty te mogą obejmować wydatki związane z gospodarką obiegu zamkniętego, poprawą efektywności energetycznej i wykorzystaniem odnawialnych źródeł energii.</w:t>
      </w:r>
    </w:p>
    <w:p w14:paraId="5E7CB841" w14:textId="496EC65D" w:rsidR="00172F60" w:rsidRPr="00771E87" w:rsidRDefault="694EFFFD" w:rsidP="39F53199">
      <w:pPr>
        <w:keepLines/>
        <w:widowControl w:val="0"/>
        <w:spacing w:after="0" w:line="360" w:lineRule="auto"/>
        <w:rPr>
          <w:rFonts w:cstheme="minorHAnsi"/>
          <w:sz w:val="24"/>
          <w:szCs w:val="24"/>
        </w:rPr>
      </w:pPr>
      <w:r w:rsidRPr="00771E87">
        <w:rPr>
          <w:rFonts w:cstheme="minorHAnsi"/>
          <w:sz w:val="24"/>
          <w:szCs w:val="24"/>
        </w:rPr>
        <w:t>Działania obejmujące cele GOZ</w:t>
      </w:r>
      <w:r w:rsidR="09891AA4" w:rsidRPr="00771E87">
        <w:rPr>
          <w:rFonts w:cstheme="minorHAnsi"/>
          <w:sz w:val="24"/>
          <w:szCs w:val="24"/>
        </w:rPr>
        <w:t xml:space="preserve"> </w:t>
      </w:r>
      <w:r w:rsidR="2623FF69" w:rsidRPr="00771E87">
        <w:rPr>
          <w:rFonts w:cstheme="minorHAnsi"/>
          <w:sz w:val="24"/>
          <w:szCs w:val="24"/>
        </w:rPr>
        <w:t xml:space="preserve">mają za zadanie </w:t>
      </w:r>
      <w:r w:rsidR="55EE6CC1" w:rsidRPr="00771E87">
        <w:rPr>
          <w:rFonts w:cstheme="minorHAnsi"/>
          <w:sz w:val="24"/>
          <w:szCs w:val="24"/>
        </w:rPr>
        <w:t>w szczególności zachęc</w:t>
      </w:r>
      <w:r w:rsidR="2623FF69" w:rsidRPr="00771E87">
        <w:rPr>
          <w:rFonts w:cstheme="minorHAnsi"/>
          <w:sz w:val="24"/>
          <w:szCs w:val="24"/>
        </w:rPr>
        <w:t>ić</w:t>
      </w:r>
      <w:r w:rsidR="7B88B4B1" w:rsidRPr="00771E87">
        <w:rPr>
          <w:rFonts w:cstheme="minorHAnsi"/>
          <w:sz w:val="24"/>
          <w:szCs w:val="24"/>
        </w:rPr>
        <w:t xml:space="preserve"> </w:t>
      </w:r>
      <w:r w:rsidR="55EE6CC1" w:rsidRPr="00771E87">
        <w:rPr>
          <w:rFonts w:cstheme="minorHAnsi"/>
          <w:sz w:val="24"/>
          <w:szCs w:val="24"/>
        </w:rPr>
        <w:t xml:space="preserve">do zapobiegania powstawaniu odpadów, poprzez prace projektowe, </w:t>
      </w:r>
      <w:r w:rsidR="1BF8FD19" w:rsidRPr="00771E87">
        <w:rPr>
          <w:rFonts w:cstheme="minorHAnsi"/>
          <w:sz w:val="24"/>
          <w:szCs w:val="24"/>
        </w:rPr>
        <w:t>ograniczenie marnowania żywności, segregację i recykling odpadów, zrównoważone metody produkcji i dystrybucji żywności,</w:t>
      </w:r>
      <w:r w:rsidR="08644478" w:rsidRPr="00771E87">
        <w:rPr>
          <w:rFonts w:cstheme="minorHAnsi"/>
          <w:sz w:val="24"/>
          <w:szCs w:val="24"/>
        </w:rPr>
        <w:t xml:space="preserve"> </w:t>
      </w:r>
      <w:r w:rsidR="1BF8FD19" w:rsidRPr="00771E87">
        <w:rPr>
          <w:rFonts w:cstheme="minorHAnsi"/>
          <w:sz w:val="24"/>
          <w:szCs w:val="24"/>
        </w:rPr>
        <w:t>co przyczyni</w:t>
      </w:r>
      <w:r w:rsidR="08644478" w:rsidRPr="00771E87">
        <w:rPr>
          <w:rFonts w:cstheme="minorHAnsi"/>
          <w:sz w:val="24"/>
          <w:szCs w:val="24"/>
        </w:rPr>
        <w:t xml:space="preserve"> </w:t>
      </w:r>
      <w:r w:rsidR="1BF8FD19" w:rsidRPr="00771E87">
        <w:rPr>
          <w:rFonts w:cstheme="minorHAnsi"/>
          <w:sz w:val="24"/>
          <w:szCs w:val="24"/>
        </w:rPr>
        <w:t>się do zwiększenia odporności i redukcji negatywnego wpływu na środowisko.</w:t>
      </w:r>
    </w:p>
    <w:p w14:paraId="4C3EB456" w14:textId="628E33C0" w:rsidR="009C7E3D" w:rsidRPr="00771E87" w:rsidRDefault="7C909D13" w:rsidP="0000555D">
      <w:pPr>
        <w:autoSpaceDE w:val="0"/>
        <w:autoSpaceDN w:val="0"/>
        <w:adjustRightInd w:val="0"/>
        <w:spacing w:after="360" w:line="360" w:lineRule="auto"/>
        <w:rPr>
          <w:rFonts w:cstheme="minorHAnsi"/>
          <w:sz w:val="24"/>
          <w:szCs w:val="24"/>
        </w:rPr>
      </w:pPr>
      <w:r w:rsidRPr="00771E87">
        <w:rPr>
          <w:rFonts w:cstheme="minorHAnsi"/>
          <w:sz w:val="24"/>
          <w:szCs w:val="24"/>
        </w:rPr>
        <w:t>Kwalifikowalne są tylko i wyłącznie koszty dodatkowe, konieczne i bezpośrednio związane</w:t>
      </w:r>
      <w:r w:rsidR="00AE25A5" w:rsidRPr="00771E87">
        <w:rPr>
          <w:rFonts w:cstheme="minorHAnsi"/>
          <w:sz w:val="24"/>
          <w:szCs w:val="24"/>
        </w:rPr>
        <w:t xml:space="preserve"> </w:t>
      </w:r>
      <w:r w:rsidRPr="00771E87">
        <w:rPr>
          <w:rFonts w:cstheme="minorHAnsi"/>
          <w:sz w:val="24"/>
          <w:szCs w:val="24"/>
        </w:rPr>
        <w:t>z</w:t>
      </w:r>
      <w:r w:rsidR="0000555D" w:rsidRPr="00771E87">
        <w:rPr>
          <w:rFonts w:cstheme="minorHAnsi"/>
          <w:sz w:val="24"/>
          <w:szCs w:val="24"/>
        </w:rPr>
        <w:t> </w:t>
      </w:r>
      <w:r w:rsidRPr="00771E87">
        <w:rPr>
          <w:rFonts w:cstheme="minorHAnsi"/>
          <w:sz w:val="24"/>
          <w:szCs w:val="24"/>
        </w:rPr>
        <w:t>realizacją inwestycji prowadzącej do lepszej lub bardziej wydajnej działalności w zakresie recyklingu lub ponownego użycia w porównaniu z konwencjonalnym procesem związanym</w:t>
      </w:r>
      <w:r w:rsidR="00AE25A5" w:rsidRPr="00771E87">
        <w:rPr>
          <w:rFonts w:cstheme="minorHAnsi"/>
          <w:sz w:val="24"/>
          <w:szCs w:val="24"/>
        </w:rPr>
        <w:t xml:space="preserve"> </w:t>
      </w:r>
      <w:r w:rsidRPr="00771E87">
        <w:rPr>
          <w:rFonts w:cstheme="minorHAnsi"/>
          <w:sz w:val="24"/>
          <w:szCs w:val="24"/>
        </w:rPr>
        <w:t>z</w:t>
      </w:r>
      <w:r w:rsidR="00F00B76">
        <w:rPr>
          <w:rFonts w:cstheme="minorHAnsi"/>
          <w:sz w:val="24"/>
          <w:szCs w:val="24"/>
        </w:rPr>
        <w:t> </w:t>
      </w:r>
      <w:r w:rsidRPr="00771E87">
        <w:rPr>
          <w:rFonts w:cstheme="minorHAnsi"/>
          <w:sz w:val="24"/>
          <w:szCs w:val="24"/>
        </w:rPr>
        <w:t>działalnością w zakresie ponownego użycia i recyklingu o tej samej mocy produkcyjnej,</w:t>
      </w:r>
      <w:r w:rsidR="17E9803C" w:rsidRPr="00771E87">
        <w:rPr>
          <w:rFonts w:cstheme="minorHAnsi"/>
          <w:sz w:val="24"/>
          <w:szCs w:val="24"/>
        </w:rPr>
        <w:t xml:space="preserve"> </w:t>
      </w:r>
      <w:r w:rsidRPr="00771E87">
        <w:rPr>
          <w:rFonts w:cstheme="minorHAnsi"/>
          <w:sz w:val="24"/>
          <w:szCs w:val="24"/>
        </w:rPr>
        <w:t>jaki</w:t>
      </w:r>
      <w:r w:rsidR="1D64A83F" w:rsidRPr="00771E87">
        <w:rPr>
          <w:rFonts w:cstheme="minorHAnsi"/>
          <w:sz w:val="24"/>
          <w:szCs w:val="24"/>
        </w:rPr>
        <w:t xml:space="preserve"> </w:t>
      </w:r>
      <w:r w:rsidRPr="00771E87">
        <w:rPr>
          <w:rFonts w:cstheme="minorHAnsi"/>
          <w:sz w:val="24"/>
          <w:szCs w:val="24"/>
        </w:rPr>
        <w:t xml:space="preserve">by powstał w przypadku braku </w:t>
      </w:r>
      <w:r w:rsidR="48C179AC" w:rsidRPr="00771E87">
        <w:rPr>
          <w:rFonts w:cstheme="minorHAnsi"/>
          <w:sz w:val="24"/>
          <w:szCs w:val="24"/>
        </w:rPr>
        <w:t>wsparcia</w:t>
      </w:r>
      <w:r w:rsidRPr="00771E87">
        <w:rPr>
          <w:rFonts w:cstheme="minorHAnsi"/>
          <w:sz w:val="24"/>
          <w:szCs w:val="24"/>
        </w:rPr>
        <w:t>.</w:t>
      </w:r>
    </w:p>
    <w:p w14:paraId="5F33C964" w14:textId="3B4F07CF" w:rsidR="009C7E3D" w:rsidRPr="00771E87" w:rsidRDefault="0080100B" w:rsidP="00B25D62">
      <w:pPr>
        <w:keepLines/>
        <w:widowControl w:val="0"/>
        <w:spacing w:after="0" w:line="360" w:lineRule="auto"/>
        <w:rPr>
          <w:rFonts w:cstheme="minorHAnsi"/>
          <w:iCs/>
          <w:sz w:val="24"/>
          <w:szCs w:val="24"/>
        </w:rPr>
      </w:pPr>
      <w:r w:rsidRPr="00771E87">
        <w:rPr>
          <w:rFonts w:cstheme="minorHAnsi"/>
          <w:iCs/>
          <w:sz w:val="24"/>
          <w:szCs w:val="24"/>
        </w:rPr>
        <w:lastRenderedPageBreak/>
        <w:t>Do działań związanych z poprawą efektywności energetycznej i wykorzystania odnawialnych źródeł energii</w:t>
      </w:r>
      <w:r w:rsidR="009C7E3D" w:rsidRPr="00771E87">
        <w:rPr>
          <w:rFonts w:cstheme="minorHAnsi"/>
          <w:iCs/>
          <w:sz w:val="24"/>
          <w:szCs w:val="24"/>
        </w:rPr>
        <w:t xml:space="preserve"> można zaliczyć inwestycje w zielone technologie, takie jak instalacje fotowoltaiczne, panele słoneczne, energooszczędne oświetlenie – np. systemy oświetlenia LED, efektywne urządzenia grzewcze lub chłodzące, w celu poprawy efektywności energetycznej</w:t>
      </w:r>
      <w:r w:rsidR="005C1C27" w:rsidRPr="00771E87">
        <w:rPr>
          <w:rFonts w:cstheme="minorHAnsi"/>
          <w:iCs/>
          <w:sz w:val="24"/>
          <w:szCs w:val="24"/>
        </w:rPr>
        <w:t xml:space="preserve"> </w:t>
      </w:r>
      <w:r w:rsidR="009C7E3D" w:rsidRPr="00771E87">
        <w:rPr>
          <w:rFonts w:cstheme="minorHAnsi"/>
          <w:iCs/>
          <w:sz w:val="24"/>
          <w:szCs w:val="24"/>
        </w:rPr>
        <w:t>i zmniejszenia śladu węglowego. Mogą to być wydatki promujące energooszczędne rozwiązania, które przyczynią</w:t>
      </w:r>
      <w:r w:rsidR="00684BB3" w:rsidRPr="00771E87">
        <w:rPr>
          <w:rFonts w:cstheme="minorHAnsi"/>
          <w:iCs/>
          <w:sz w:val="24"/>
          <w:szCs w:val="24"/>
        </w:rPr>
        <w:t xml:space="preserve"> </w:t>
      </w:r>
      <w:r w:rsidR="009C7E3D" w:rsidRPr="00771E87">
        <w:rPr>
          <w:rFonts w:cstheme="minorHAnsi"/>
          <w:iCs/>
          <w:sz w:val="24"/>
          <w:szCs w:val="24"/>
        </w:rPr>
        <w:t>się do obniżenia zużycia i obniżenia emisji gazów cieplarnianych.</w:t>
      </w:r>
    </w:p>
    <w:p w14:paraId="7B3FBA54" w14:textId="142E7DBE" w:rsidR="001916EC" w:rsidRPr="00771E87" w:rsidRDefault="54A0710B" w:rsidP="00B25D62">
      <w:pPr>
        <w:keepLines/>
        <w:widowControl w:val="0"/>
        <w:spacing w:after="0" w:line="360" w:lineRule="auto"/>
        <w:rPr>
          <w:rFonts w:cstheme="minorHAnsi"/>
          <w:sz w:val="24"/>
          <w:szCs w:val="24"/>
          <w:lang w:eastAsia="pl-PL"/>
        </w:rPr>
      </w:pPr>
      <w:r w:rsidRPr="00771E87">
        <w:rPr>
          <w:rFonts w:cstheme="minorHAnsi"/>
          <w:sz w:val="24"/>
          <w:szCs w:val="24"/>
          <w:lang w:eastAsia="pl-PL"/>
        </w:rPr>
        <w:t>Wydatki powinny obejmować inwestycje w rozwój nowych produktów lub usług, w tym badania i</w:t>
      </w:r>
      <w:r w:rsidR="00F00B76">
        <w:rPr>
          <w:rFonts w:cstheme="minorHAnsi"/>
          <w:sz w:val="24"/>
          <w:szCs w:val="24"/>
          <w:lang w:eastAsia="pl-PL"/>
        </w:rPr>
        <w:t> </w:t>
      </w:r>
      <w:r w:rsidRPr="00771E87">
        <w:rPr>
          <w:rFonts w:cstheme="minorHAnsi"/>
          <w:sz w:val="24"/>
          <w:szCs w:val="24"/>
          <w:lang w:eastAsia="pl-PL"/>
        </w:rPr>
        <w:t>rozwój, innowacje technologiczne, adaptację istniejących produktów lub usług do zmieniających się warunków rynkowych. Inwestycje mają zwiększać rozwój przedsiębiorstw, ich produktywność, konkurencyjność, innowacyjność lub zdolność do dywersyfikacji działalności.</w:t>
      </w:r>
    </w:p>
    <w:p w14:paraId="70D69D79" w14:textId="337AF478" w:rsidR="450F1B5E" w:rsidRPr="00771E87" w:rsidRDefault="61DAA8A8" w:rsidP="0000555D">
      <w:pPr>
        <w:keepLines/>
        <w:widowControl w:val="0"/>
        <w:spacing w:after="480" w:line="360" w:lineRule="auto"/>
        <w:rPr>
          <w:rFonts w:eastAsia="Calibri" w:cstheme="minorHAnsi"/>
          <w:sz w:val="24"/>
          <w:szCs w:val="24"/>
        </w:rPr>
      </w:pPr>
      <w:r w:rsidRPr="00771E87">
        <w:rPr>
          <w:rFonts w:eastAsia="Calibri" w:cstheme="minorHAnsi"/>
          <w:sz w:val="24"/>
          <w:szCs w:val="24"/>
        </w:rPr>
        <w:t>Przy rozliczaniu wydatków związanych z zieloną transformacją, wymagane jest przedstawienie świadectwa ukończenia inwestycji wystawionego zgodnie z przepisami krajowymi.</w:t>
      </w:r>
    </w:p>
    <w:p w14:paraId="0E338FD3" w14:textId="5E35208E" w:rsidR="00F20F5B" w:rsidRPr="00771E87" w:rsidRDefault="20775D99" w:rsidP="0000555D">
      <w:pPr>
        <w:pStyle w:val="NCBR2Nagowek"/>
        <w:spacing w:after="360"/>
        <w:rPr>
          <w:rFonts w:asciiTheme="minorHAnsi" w:hAnsiTheme="minorHAnsi" w:cstheme="minorHAnsi"/>
          <w:sz w:val="24"/>
          <w:szCs w:val="24"/>
        </w:rPr>
      </w:pPr>
      <w:bookmarkStart w:id="56" w:name="_Toc153712615"/>
      <w:bookmarkStart w:id="57" w:name="_Toc162526828"/>
      <w:r w:rsidRPr="00771E87">
        <w:rPr>
          <w:rFonts w:asciiTheme="minorHAnsi" w:hAnsiTheme="minorHAnsi" w:cstheme="minorHAnsi"/>
          <w:sz w:val="24"/>
          <w:szCs w:val="24"/>
        </w:rPr>
        <w:t>4</w:t>
      </w:r>
      <w:r w:rsidR="439661B0" w:rsidRPr="00771E87">
        <w:rPr>
          <w:rFonts w:asciiTheme="minorHAnsi" w:hAnsiTheme="minorHAnsi" w:cstheme="minorHAnsi"/>
          <w:sz w:val="24"/>
          <w:szCs w:val="24"/>
        </w:rPr>
        <w:t>.</w:t>
      </w:r>
      <w:r w:rsidR="5AF45546" w:rsidRPr="00771E87">
        <w:rPr>
          <w:rFonts w:asciiTheme="minorHAnsi" w:hAnsiTheme="minorHAnsi" w:cstheme="minorHAnsi"/>
          <w:sz w:val="24"/>
          <w:szCs w:val="24"/>
        </w:rPr>
        <w:t>7</w:t>
      </w:r>
      <w:r w:rsidR="439661B0" w:rsidRPr="00771E87">
        <w:rPr>
          <w:rFonts w:asciiTheme="minorHAnsi" w:hAnsiTheme="minorHAnsi" w:cstheme="minorHAnsi"/>
          <w:sz w:val="24"/>
          <w:szCs w:val="24"/>
        </w:rPr>
        <w:t xml:space="preserve"> </w:t>
      </w:r>
      <w:r w:rsidR="61DAA8A8" w:rsidRPr="00771E87">
        <w:rPr>
          <w:rFonts w:asciiTheme="minorHAnsi" w:hAnsiTheme="minorHAnsi" w:cstheme="minorHAnsi"/>
          <w:sz w:val="24"/>
          <w:szCs w:val="24"/>
        </w:rPr>
        <w:t xml:space="preserve">Koszty </w:t>
      </w:r>
      <w:r w:rsidR="29E069C4" w:rsidRPr="00771E87">
        <w:rPr>
          <w:rFonts w:asciiTheme="minorHAnsi" w:hAnsiTheme="minorHAnsi" w:cstheme="minorHAnsi"/>
          <w:sz w:val="24"/>
          <w:szCs w:val="24"/>
        </w:rPr>
        <w:t>związan</w:t>
      </w:r>
      <w:r w:rsidR="6B7ECF66" w:rsidRPr="00771E87">
        <w:rPr>
          <w:rFonts w:asciiTheme="minorHAnsi" w:hAnsiTheme="minorHAnsi" w:cstheme="minorHAnsi"/>
          <w:sz w:val="24"/>
          <w:szCs w:val="24"/>
        </w:rPr>
        <w:t>e</w:t>
      </w:r>
      <w:r w:rsidR="29E069C4" w:rsidRPr="00771E87">
        <w:rPr>
          <w:rFonts w:asciiTheme="minorHAnsi" w:hAnsiTheme="minorHAnsi" w:cstheme="minorHAnsi"/>
          <w:sz w:val="24"/>
          <w:szCs w:val="24"/>
        </w:rPr>
        <w:t xml:space="preserve"> z transformacją cyfrową</w:t>
      </w:r>
      <w:bookmarkEnd w:id="56"/>
      <w:bookmarkEnd w:id="57"/>
    </w:p>
    <w:p w14:paraId="19F8C3CA" w14:textId="32D22599" w:rsidR="0FD956A3" w:rsidRPr="00771E87" w:rsidRDefault="46D6933C" w:rsidP="0000555D">
      <w:pPr>
        <w:keepLines/>
        <w:widowControl w:val="0"/>
        <w:spacing w:after="360" w:line="360" w:lineRule="auto"/>
        <w:rPr>
          <w:rFonts w:eastAsiaTheme="majorEastAsia" w:cstheme="minorHAnsi"/>
          <w:color w:val="2F5496" w:themeColor="accent1" w:themeShade="BF"/>
          <w:sz w:val="24"/>
          <w:szCs w:val="24"/>
        </w:rPr>
      </w:pPr>
      <w:r w:rsidRPr="00771E87">
        <w:rPr>
          <w:rFonts w:cstheme="minorHAnsi"/>
          <w:sz w:val="24"/>
          <w:szCs w:val="24"/>
        </w:rPr>
        <w:t>Koszty związane z transformacją cyfrową maj</w:t>
      </w:r>
      <w:r w:rsidR="5D8FF924" w:rsidRPr="00771E87">
        <w:rPr>
          <w:rFonts w:cstheme="minorHAnsi"/>
          <w:sz w:val="24"/>
          <w:szCs w:val="24"/>
        </w:rPr>
        <w:t>ą</w:t>
      </w:r>
      <w:r w:rsidRPr="00771E87">
        <w:rPr>
          <w:rFonts w:cstheme="minorHAnsi"/>
          <w:sz w:val="24"/>
          <w:szCs w:val="24"/>
        </w:rPr>
        <w:t xml:space="preserve"> charakter wspierający lub uzupełniający </w:t>
      </w:r>
      <w:r w:rsidR="0D072F48" w:rsidRPr="00771E87">
        <w:rPr>
          <w:rFonts w:cstheme="minorHAnsi"/>
          <w:sz w:val="24"/>
          <w:szCs w:val="24"/>
        </w:rPr>
        <w:t>gł</w:t>
      </w:r>
      <w:r w:rsidRPr="00771E87">
        <w:rPr>
          <w:rFonts w:cstheme="minorHAnsi"/>
          <w:sz w:val="24"/>
          <w:szCs w:val="24"/>
        </w:rPr>
        <w:t xml:space="preserve">ówny cel przedsięwzięcia MŚP jakim jest rozszerzenie lub dywersyfikacja prowadzonej działalności. Koszty te mogą obejmować </w:t>
      </w:r>
      <w:r w:rsidR="25DFB163" w:rsidRPr="00771E87">
        <w:rPr>
          <w:rFonts w:cstheme="minorHAnsi"/>
          <w:sz w:val="24"/>
          <w:szCs w:val="24"/>
        </w:rPr>
        <w:t xml:space="preserve">wydatki </w:t>
      </w:r>
      <w:r w:rsidR="45BC6ADD" w:rsidRPr="00771E87">
        <w:rPr>
          <w:rFonts w:cstheme="minorHAnsi"/>
          <w:sz w:val="24"/>
          <w:szCs w:val="24"/>
        </w:rPr>
        <w:t>zmierzające do automatyzacji lub robotyzacji procesów w prowadzonej działalności,</w:t>
      </w:r>
      <w:r w:rsidR="25DFB163" w:rsidRPr="00771E87">
        <w:rPr>
          <w:rFonts w:cstheme="minorHAnsi"/>
          <w:sz w:val="24"/>
          <w:szCs w:val="24"/>
        </w:rPr>
        <w:t xml:space="preserve"> </w:t>
      </w:r>
      <w:r w:rsidR="25DFB163" w:rsidRPr="00771E87">
        <w:rPr>
          <w:rFonts w:eastAsia="Times New Roman" w:cstheme="minorHAnsi"/>
          <w:sz w:val="24"/>
          <w:szCs w:val="24"/>
          <w:lang w:eastAsia="pl-PL"/>
        </w:rPr>
        <w:t>oprogramowania do zarządzania zamówieniami, płatności elektroniczne, analiza danych, czy automatyzacja procesów biznesowych, systemy kontroli dostępu, monitoring wizyjny, inwestycje w rozwój sklepu internetowego, platformy sprzedażowej lub systemu e-commerce</w:t>
      </w:r>
      <w:r w:rsidR="22DB4DD6" w:rsidRPr="00771E87">
        <w:rPr>
          <w:rFonts w:eastAsia="Times New Roman" w:cstheme="minorHAnsi"/>
          <w:sz w:val="24"/>
          <w:szCs w:val="24"/>
          <w:lang w:eastAsia="pl-PL"/>
        </w:rPr>
        <w:t xml:space="preserve">. </w:t>
      </w:r>
      <w:r w:rsidRPr="00771E87">
        <w:rPr>
          <w:rFonts w:eastAsia="Times New Roman" w:cstheme="minorHAnsi"/>
          <w:sz w:val="24"/>
          <w:szCs w:val="24"/>
          <w:lang w:eastAsia="pl-PL"/>
        </w:rPr>
        <w:t xml:space="preserve">Do </w:t>
      </w:r>
      <w:r w:rsidR="0000555D" w:rsidRPr="00771E87">
        <w:rPr>
          <w:rFonts w:eastAsia="Times New Roman" w:cstheme="minorHAnsi"/>
          <w:sz w:val="24"/>
          <w:szCs w:val="24"/>
          <w:lang w:eastAsia="pl-PL"/>
        </w:rPr>
        <w:t> </w:t>
      </w:r>
      <w:r w:rsidRPr="00771E87">
        <w:rPr>
          <w:rFonts w:eastAsia="Times New Roman" w:cstheme="minorHAnsi"/>
          <w:sz w:val="24"/>
          <w:szCs w:val="24"/>
          <w:lang w:eastAsia="pl-PL"/>
        </w:rPr>
        <w:t xml:space="preserve">tej kategorii kosztów można </w:t>
      </w:r>
      <w:r w:rsidR="22DB4DD6" w:rsidRPr="00771E87">
        <w:rPr>
          <w:rFonts w:eastAsia="Times New Roman" w:cstheme="minorHAnsi"/>
          <w:sz w:val="24"/>
          <w:szCs w:val="24"/>
          <w:lang w:eastAsia="pl-PL"/>
        </w:rPr>
        <w:t xml:space="preserve">również </w:t>
      </w:r>
      <w:r w:rsidRPr="00771E87">
        <w:rPr>
          <w:rFonts w:eastAsia="Times New Roman" w:cstheme="minorHAnsi"/>
          <w:sz w:val="24"/>
          <w:szCs w:val="24"/>
          <w:lang w:eastAsia="pl-PL"/>
        </w:rPr>
        <w:t xml:space="preserve">zaliczyć </w:t>
      </w:r>
      <w:r w:rsidR="22DB4DD6" w:rsidRPr="00771E87">
        <w:rPr>
          <w:rFonts w:eastAsia="Times New Roman" w:cstheme="minorHAnsi"/>
          <w:sz w:val="24"/>
          <w:szCs w:val="24"/>
          <w:lang w:eastAsia="pl-PL"/>
        </w:rPr>
        <w:t>oprogramowani</w:t>
      </w:r>
      <w:r w:rsidRPr="00771E87">
        <w:rPr>
          <w:rFonts w:eastAsia="Times New Roman" w:cstheme="minorHAnsi"/>
          <w:sz w:val="24"/>
          <w:szCs w:val="24"/>
          <w:lang w:eastAsia="pl-PL"/>
        </w:rPr>
        <w:t>e</w:t>
      </w:r>
      <w:r w:rsidR="22DB4DD6" w:rsidRPr="00771E87">
        <w:rPr>
          <w:rFonts w:eastAsia="Times New Roman" w:cstheme="minorHAnsi"/>
          <w:sz w:val="24"/>
          <w:szCs w:val="24"/>
          <w:lang w:eastAsia="pl-PL"/>
        </w:rPr>
        <w:t xml:space="preserve"> niezbędne</w:t>
      </w:r>
      <w:r w:rsidR="08644478" w:rsidRPr="00771E87">
        <w:rPr>
          <w:rFonts w:eastAsia="Times New Roman" w:cstheme="minorHAnsi"/>
          <w:sz w:val="24"/>
          <w:szCs w:val="24"/>
          <w:lang w:eastAsia="pl-PL"/>
        </w:rPr>
        <w:t xml:space="preserve"> </w:t>
      </w:r>
      <w:r w:rsidR="22DB4DD6" w:rsidRPr="00771E87">
        <w:rPr>
          <w:rFonts w:eastAsia="Times New Roman" w:cstheme="minorHAnsi"/>
          <w:sz w:val="24"/>
          <w:szCs w:val="24"/>
          <w:lang w:eastAsia="pl-PL"/>
        </w:rPr>
        <w:t>do produkcji</w:t>
      </w:r>
      <w:r w:rsidR="60310300" w:rsidRPr="00771E87">
        <w:rPr>
          <w:rFonts w:eastAsia="Times New Roman" w:cstheme="minorHAnsi"/>
          <w:sz w:val="24"/>
          <w:szCs w:val="24"/>
          <w:lang w:eastAsia="pl-PL"/>
        </w:rPr>
        <w:t xml:space="preserve"> </w:t>
      </w:r>
      <w:r w:rsidR="22DB4DD6" w:rsidRPr="00771E87">
        <w:rPr>
          <w:rFonts w:eastAsia="Times New Roman" w:cstheme="minorHAnsi"/>
          <w:sz w:val="24"/>
          <w:szCs w:val="24"/>
          <w:lang w:eastAsia="pl-PL"/>
        </w:rPr>
        <w:t xml:space="preserve">lub świadczenia usług na wyższym poziomie, instalacja lub ulepszenie systemów </w:t>
      </w:r>
      <w:r w:rsidR="22DB4DD6" w:rsidRPr="00771E87">
        <w:rPr>
          <w:rFonts w:cstheme="minorHAnsi"/>
          <w:sz w:val="24"/>
          <w:szCs w:val="24"/>
        </w:rPr>
        <w:t xml:space="preserve">informatycznych, w </w:t>
      </w:r>
      <w:r w:rsidR="0000555D" w:rsidRPr="00771E87">
        <w:rPr>
          <w:rFonts w:cstheme="minorHAnsi"/>
          <w:sz w:val="24"/>
          <w:szCs w:val="24"/>
        </w:rPr>
        <w:t> </w:t>
      </w:r>
      <w:r w:rsidR="22DB4DD6" w:rsidRPr="00771E87">
        <w:rPr>
          <w:rFonts w:cstheme="minorHAnsi"/>
          <w:sz w:val="24"/>
          <w:szCs w:val="24"/>
        </w:rPr>
        <w:t>tym zarządzania produkcj</w:t>
      </w:r>
      <w:r w:rsidR="2FDFB466" w:rsidRPr="00771E87">
        <w:rPr>
          <w:rFonts w:cstheme="minorHAnsi"/>
          <w:sz w:val="24"/>
          <w:szCs w:val="24"/>
        </w:rPr>
        <w:t>ą</w:t>
      </w:r>
      <w:r w:rsidR="22DB4DD6" w:rsidRPr="00771E87">
        <w:rPr>
          <w:rFonts w:cstheme="minorHAnsi"/>
          <w:sz w:val="24"/>
          <w:szCs w:val="24"/>
        </w:rPr>
        <w:t>, zarządzania relacjami z klientami lub systemów analitycznych</w:t>
      </w:r>
      <w:r w:rsidR="36F3BA08" w:rsidRPr="00771E87">
        <w:rPr>
          <w:rFonts w:cstheme="minorHAnsi"/>
          <w:sz w:val="24"/>
          <w:szCs w:val="24"/>
        </w:rPr>
        <w:t>, mogą to być inwestycje w infrastrukturę cyfrową dla turystów, taką jak bezpłatny dostęp do Internetu</w:t>
      </w:r>
      <w:r w:rsidR="529A3FE1" w:rsidRPr="00771E87">
        <w:rPr>
          <w:rFonts w:cstheme="minorHAnsi"/>
          <w:sz w:val="24"/>
          <w:szCs w:val="24"/>
        </w:rPr>
        <w:t xml:space="preserve"> </w:t>
      </w:r>
      <w:r w:rsidR="36F3BA08" w:rsidRPr="00771E87">
        <w:rPr>
          <w:rFonts w:cstheme="minorHAnsi"/>
          <w:sz w:val="24"/>
          <w:szCs w:val="24"/>
        </w:rPr>
        <w:t xml:space="preserve">w </w:t>
      </w:r>
      <w:r w:rsidR="0000555D" w:rsidRPr="00771E87">
        <w:rPr>
          <w:rFonts w:cstheme="minorHAnsi"/>
          <w:sz w:val="24"/>
          <w:szCs w:val="24"/>
        </w:rPr>
        <w:t> </w:t>
      </w:r>
      <w:r w:rsidR="36F3BA08" w:rsidRPr="00771E87">
        <w:rPr>
          <w:rFonts w:cstheme="minorHAnsi"/>
          <w:sz w:val="24"/>
          <w:szCs w:val="24"/>
        </w:rPr>
        <w:t xml:space="preserve">miejscach publicznych, interaktywne aplikacje mobilne, wirtualne przewodniki, a także inwestycje w infrastrukturę cyfrową dla sektora kultury, takie jak platformy </w:t>
      </w:r>
      <w:proofErr w:type="spellStart"/>
      <w:r w:rsidR="36F3BA08" w:rsidRPr="00771E87">
        <w:rPr>
          <w:rFonts w:cstheme="minorHAnsi"/>
          <w:sz w:val="24"/>
          <w:szCs w:val="24"/>
        </w:rPr>
        <w:t>streamingowe</w:t>
      </w:r>
      <w:proofErr w:type="spellEnd"/>
      <w:r w:rsidR="36F3BA08" w:rsidRPr="00771E87">
        <w:rPr>
          <w:rFonts w:cstheme="minorHAnsi"/>
          <w:sz w:val="24"/>
          <w:szCs w:val="24"/>
        </w:rPr>
        <w:t>, wirtualne wycieczki po muzeach, koncerty online itp., aby umożliwić dostęp do kultury w okresach kryzysu, czy też inwestycje w nowe technologie interaktywne, takie</w:t>
      </w:r>
      <w:r w:rsidR="0BB726F5" w:rsidRPr="00771E87">
        <w:rPr>
          <w:rFonts w:cstheme="minorHAnsi"/>
          <w:sz w:val="24"/>
          <w:szCs w:val="24"/>
        </w:rPr>
        <w:t xml:space="preserve"> </w:t>
      </w:r>
      <w:r w:rsidR="36F3BA08" w:rsidRPr="00771E87">
        <w:rPr>
          <w:rFonts w:cstheme="minorHAnsi"/>
          <w:sz w:val="24"/>
          <w:szCs w:val="24"/>
        </w:rPr>
        <w:t>jak rozszerzona rzeczywistość (AR), wirtualna rzeczywistość (VR), interaktywne instalacje artystyczne itp., aby stworzyć nowe doświadczenia kulturalne i przyciągnąć różne grupy odbiorców.</w:t>
      </w:r>
    </w:p>
    <w:p w14:paraId="2ECF03B3" w14:textId="2EDF45CE" w:rsidR="00870423" w:rsidRPr="00771E87" w:rsidRDefault="107905C4" w:rsidP="0000555D">
      <w:pPr>
        <w:keepLines/>
        <w:widowControl w:val="0"/>
        <w:spacing w:after="480" w:line="360" w:lineRule="auto"/>
        <w:rPr>
          <w:rFonts w:eastAsia="Calibri" w:cstheme="minorHAnsi"/>
          <w:sz w:val="24"/>
          <w:szCs w:val="24"/>
        </w:rPr>
      </w:pPr>
      <w:r w:rsidRPr="00771E87">
        <w:rPr>
          <w:rFonts w:eastAsia="Calibri" w:cstheme="minorHAnsi"/>
          <w:sz w:val="24"/>
          <w:szCs w:val="24"/>
        </w:rPr>
        <w:lastRenderedPageBreak/>
        <w:t>Przy rozliczaniu kosztów inwestycji związanych z transformacją cyfrową wymagane jest przedstawienie dokumentu potwierdzającego realizację takiej inwestycji, tj. umowy kupna/wykonania usługi podpisanej przez Przedsiębiorcę i sprzedawcę/wykonawcę usługi</w:t>
      </w:r>
      <w:r w:rsidR="00C133CD" w:rsidRPr="00771E87">
        <w:rPr>
          <w:rFonts w:eastAsia="Calibri" w:cstheme="minorHAnsi"/>
          <w:sz w:val="24"/>
          <w:szCs w:val="24"/>
        </w:rPr>
        <w:t xml:space="preserve"> </w:t>
      </w:r>
      <w:r w:rsidRPr="00771E87">
        <w:rPr>
          <w:rFonts w:eastAsia="Calibri" w:cstheme="minorHAnsi"/>
          <w:sz w:val="24"/>
          <w:szCs w:val="24"/>
        </w:rPr>
        <w:t>lub dokumentu o równoważnej wartości dowodowej, raportu końcowego wykonawcy usługi.</w:t>
      </w:r>
    </w:p>
    <w:p w14:paraId="3C1159F7" w14:textId="0B4B92B6" w:rsidR="001E0B00" w:rsidRPr="00771E87" w:rsidRDefault="00507E19" w:rsidP="0000555D">
      <w:pPr>
        <w:pStyle w:val="NCBR2Nagowek"/>
        <w:spacing w:after="360"/>
        <w:rPr>
          <w:rFonts w:asciiTheme="minorHAnsi" w:hAnsiTheme="minorHAnsi" w:cstheme="minorHAnsi"/>
        </w:rPr>
      </w:pPr>
      <w:bookmarkStart w:id="58" w:name="_Toc124327573"/>
      <w:bookmarkStart w:id="59" w:name="_Toc124328130"/>
      <w:bookmarkStart w:id="60" w:name="_Toc124329403"/>
      <w:bookmarkStart w:id="61" w:name="_Toc124329515"/>
      <w:bookmarkStart w:id="62" w:name="_Toc124329611"/>
      <w:bookmarkStart w:id="63" w:name="_Toc124329707"/>
      <w:bookmarkStart w:id="64" w:name="_Toc124329803"/>
      <w:bookmarkStart w:id="65" w:name="_Toc124330740"/>
      <w:bookmarkStart w:id="66" w:name="_Toc124330836"/>
      <w:bookmarkStart w:id="67" w:name="_Toc124327579"/>
      <w:bookmarkStart w:id="68" w:name="_Toc124328136"/>
      <w:bookmarkStart w:id="69" w:name="_Toc124329409"/>
      <w:bookmarkStart w:id="70" w:name="_Toc124329521"/>
      <w:bookmarkStart w:id="71" w:name="_Toc124329617"/>
      <w:bookmarkStart w:id="72" w:name="_Toc124329713"/>
      <w:bookmarkStart w:id="73" w:name="_Toc124329809"/>
      <w:bookmarkStart w:id="74" w:name="_Toc124330746"/>
      <w:bookmarkStart w:id="75" w:name="_Toc124330842"/>
      <w:bookmarkStart w:id="76" w:name="_Toc124327580"/>
      <w:bookmarkStart w:id="77" w:name="_Toc124328137"/>
      <w:bookmarkStart w:id="78" w:name="_Toc124329410"/>
      <w:bookmarkStart w:id="79" w:name="_Toc124329522"/>
      <w:bookmarkStart w:id="80" w:name="_Toc124329618"/>
      <w:bookmarkStart w:id="81" w:name="_Toc124329714"/>
      <w:bookmarkStart w:id="82" w:name="_Toc124329810"/>
      <w:bookmarkStart w:id="83" w:name="_Toc124330747"/>
      <w:bookmarkStart w:id="84" w:name="_Toc124330843"/>
      <w:bookmarkStart w:id="85" w:name="_Toc124327582"/>
      <w:bookmarkStart w:id="86" w:name="_Toc124328139"/>
      <w:bookmarkStart w:id="87" w:name="_Toc124329412"/>
      <w:bookmarkStart w:id="88" w:name="_Toc124329524"/>
      <w:bookmarkStart w:id="89" w:name="_Toc124329620"/>
      <w:bookmarkStart w:id="90" w:name="_Toc124329716"/>
      <w:bookmarkStart w:id="91" w:name="_Toc124329812"/>
      <w:bookmarkStart w:id="92" w:name="_Toc124330749"/>
      <w:bookmarkStart w:id="93" w:name="_Toc124330845"/>
      <w:bookmarkStart w:id="94" w:name="_Toc124327584"/>
      <w:bookmarkStart w:id="95" w:name="_Toc124328141"/>
      <w:bookmarkStart w:id="96" w:name="_Toc124329414"/>
      <w:bookmarkStart w:id="97" w:name="_Toc124329526"/>
      <w:bookmarkStart w:id="98" w:name="_Toc124329622"/>
      <w:bookmarkStart w:id="99" w:name="_Toc124329718"/>
      <w:bookmarkStart w:id="100" w:name="_Toc124329814"/>
      <w:bookmarkStart w:id="101" w:name="_Toc124330751"/>
      <w:bookmarkStart w:id="102" w:name="_Toc124330847"/>
      <w:bookmarkStart w:id="103" w:name="_Toc133247842"/>
      <w:bookmarkStart w:id="104" w:name="_Toc133247980"/>
      <w:bookmarkStart w:id="105" w:name="_Toc153712616"/>
      <w:bookmarkStart w:id="106" w:name="_Toc162526829"/>
      <w:bookmarkStart w:id="107" w:name="_Toc1363434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71E87">
        <w:rPr>
          <w:rFonts w:asciiTheme="minorHAnsi" w:hAnsiTheme="minorHAnsi" w:cstheme="minorHAnsi"/>
        </w:rPr>
        <w:t xml:space="preserve">5. </w:t>
      </w:r>
      <w:r w:rsidR="0085683C" w:rsidRPr="00771E87">
        <w:rPr>
          <w:rFonts w:asciiTheme="minorHAnsi" w:hAnsiTheme="minorHAnsi" w:cstheme="minorHAnsi"/>
        </w:rPr>
        <w:t>K</w:t>
      </w:r>
      <w:r w:rsidR="00AD0CF6" w:rsidRPr="00771E87">
        <w:rPr>
          <w:rFonts w:asciiTheme="minorHAnsi" w:hAnsiTheme="minorHAnsi" w:cstheme="minorHAnsi"/>
        </w:rPr>
        <w:t>omponent s</w:t>
      </w:r>
      <w:r w:rsidR="00AE4F8A" w:rsidRPr="00771E87">
        <w:rPr>
          <w:rFonts w:asciiTheme="minorHAnsi" w:hAnsiTheme="minorHAnsi" w:cstheme="minorHAnsi"/>
        </w:rPr>
        <w:t>zkolen</w:t>
      </w:r>
      <w:r w:rsidR="00AD0CF6" w:rsidRPr="00771E87">
        <w:rPr>
          <w:rFonts w:asciiTheme="minorHAnsi" w:hAnsiTheme="minorHAnsi" w:cstheme="minorHAnsi"/>
        </w:rPr>
        <w:t>iowy</w:t>
      </w:r>
      <w:bookmarkEnd w:id="105"/>
      <w:bookmarkEnd w:id="106"/>
    </w:p>
    <w:p w14:paraId="3AC4C5ED" w14:textId="7A923A8B" w:rsidR="00AB2582" w:rsidRPr="00771E87" w:rsidRDefault="00AB2582" w:rsidP="0000555D">
      <w:pPr>
        <w:spacing w:after="0" w:line="360" w:lineRule="auto"/>
        <w:rPr>
          <w:rFonts w:cstheme="minorHAnsi"/>
          <w:sz w:val="24"/>
          <w:szCs w:val="24"/>
        </w:rPr>
      </w:pPr>
      <w:r w:rsidRPr="00771E87">
        <w:rPr>
          <w:rFonts w:cstheme="minorHAnsi"/>
          <w:color w:val="000000"/>
          <w:sz w:val="24"/>
          <w:szCs w:val="24"/>
        </w:rPr>
        <w:t>W ramach tej kategorii kwalifikowalne są koszty bezpośrednio związane z usługami szkoleniowymi.</w:t>
      </w:r>
    </w:p>
    <w:p w14:paraId="413F0FCF" w14:textId="12D8C6EA" w:rsidR="0085683C" w:rsidRPr="00771E87" w:rsidRDefault="6394EC92" w:rsidP="39F53199">
      <w:pPr>
        <w:keepLines/>
        <w:widowControl w:val="0"/>
        <w:spacing w:after="0" w:line="360" w:lineRule="auto"/>
        <w:rPr>
          <w:rFonts w:cstheme="minorHAnsi"/>
          <w:sz w:val="24"/>
          <w:szCs w:val="24"/>
        </w:rPr>
      </w:pPr>
      <w:r w:rsidRPr="00771E87">
        <w:rPr>
          <w:rFonts w:cstheme="minorHAnsi"/>
          <w:sz w:val="24"/>
          <w:szCs w:val="24"/>
        </w:rPr>
        <w:t xml:space="preserve">Będą to </w:t>
      </w:r>
      <w:r w:rsidR="787509AE" w:rsidRPr="00771E87">
        <w:rPr>
          <w:rFonts w:cstheme="minorHAnsi"/>
          <w:sz w:val="24"/>
          <w:szCs w:val="24"/>
        </w:rPr>
        <w:t>ko</w:t>
      </w:r>
      <w:r w:rsidR="5B99EC99" w:rsidRPr="00771E87">
        <w:rPr>
          <w:rFonts w:cstheme="minorHAnsi"/>
          <w:sz w:val="24"/>
          <w:szCs w:val="24"/>
        </w:rPr>
        <w:t>szty przeprowadzenia szkoleń mających na celu podnoszenie kwalifikacji/</w:t>
      </w:r>
      <w:r w:rsidR="297E7146" w:rsidRPr="00771E87">
        <w:rPr>
          <w:rFonts w:cstheme="minorHAnsi"/>
          <w:sz w:val="24"/>
          <w:szCs w:val="24"/>
        </w:rPr>
        <w:t xml:space="preserve"> </w:t>
      </w:r>
      <w:r w:rsidR="5B99EC99" w:rsidRPr="00771E87">
        <w:rPr>
          <w:rFonts w:cstheme="minorHAnsi"/>
          <w:sz w:val="24"/>
          <w:szCs w:val="24"/>
        </w:rPr>
        <w:t>przekwalifikowanie pracowników, tj. koszty związane z nabyciem nowych umiejętności</w:t>
      </w:r>
      <w:r w:rsidRPr="00771E87">
        <w:rPr>
          <w:rFonts w:cstheme="minorHAnsi"/>
          <w:sz w:val="24"/>
          <w:szCs w:val="24"/>
        </w:rPr>
        <w:t xml:space="preserve"> </w:t>
      </w:r>
      <w:r w:rsidR="5B99EC99" w:rsidRPr="00771E87">
        <w:rPr>
          <w:rFonts w:cstheme="minorHAnsi"/>
          <w:sz w:val="24"/>
          <w:szCs w:val="24"/>
        </w:rPr>
        <w:t>pracowników lub przekwalifikowaniem pracowników, w szczególności w związku z rozszerz</w:t>
      </w:r>
      <w:r w:rsidR="0E80BC72" w:rsidRPr="00771E87">
        <w:rPr>
          <w:rFonts w:cstheme="minorHAnsi"/>
          <w:sz w:val="24"/>
          <w:szCs w:val="24"/>
        </w:rPr>
        <w:t>e</w:t>
      </w:r>
      <w:r w:rsidR="5B99EC99" w:rsidRPr="00771E87">
        <w:rPr>
          <w:rFonts w:cstheme="minorHAnsi"/>
          <w:sz w:val="24"/>
          <w:szCs w:val="24"/>
        </w:rPr>
        <w:t xml:space="preserve">niem lub </w:t>
      </w:r>
      <w:r w:rsidR="75BE9B98" w:rsidRPr="00771E87">
        <w:rPr>
          <w:rFonts w:cstheme="minorHAnsi"/>
          <w:sz w:val="24"/>
          <w:szCs w:val="24"/>
        </w:rPr>
        <w:t>dywersyfikacją</w:t>
      </w:r>
      <w:r w:rsidR="5B99EC99" w:rsidRPr="00771E87">
        <w:rPr>
          <w:rFonts w:cstheme="minorHAnsi"/>
          <w:sz w:val="24"/>
          <w:szCs w:val="24"/>
        </w:rPr>
        <w:t xml:space="preserve"> działalności przedsiębiorstwa, obsługą klienta, wystąpieniem sytuacji nadzwyczajnych w tym:</w:t>
      </w:r>
    </w:p>
    <w:p w14:paraId="2B4E6047" w14:textId="3953DE82" w:rsidR="0085683C" w:rsidRPr="00771E87" w:rsidRDefault="0085683C" w:rsidP="00B25D62">
      <w:pPr>
        <w:pStyle w:val="Akapitzlist"/>
        <w:keepLines/>
        <w:widowControl w:val="0"/>
        <w:numPr>
          <w:ilvl w:val="1"/>
          <w:numId w:val="26"/>
        </w:numPr>
        <w:spacing w:after="0" w:line="360" w:lineRule="auto"/>
        <w:rPr>
          <w:rFonts w:cstheme="minorHAnsi"/>
          <w:iCs/>
          <w:sz w:val="24"/>
          <w:szCs w:val="24"/>
        </w:rPr>
      </w:pPr>
      <w:r w:rsidRPr="00771E87">
        <w:rPr>
          <w:rFonts w:cstheme="minorHAnsi"/>
          <w:iCs/>
          <w:sz w:val="24"/>
          <w:szCs w:val="24"/>
        </w:rPr>
        <w:t>szkoleń z zakresu nowych rozwiązań i technologii</w:t>
      </w:r>
      <w:r w:rsidR="00BC1BCF" w:rsidRPr="00771E87">
        <w:rPr>
          <w:rFonts w:cstheme="minorHAnsi"/>
          <w:iCs/>
          <w:sz w:val="24"/>
          <w:szCs w:val="24"/>
        </w:rPr>
        <w:t xml:space="preserve">, w tym technologii </w:t>
      </w:r>
      <w:r w:rsidRPr="00771E87">
        <w:rPr>
          <w:rFonts w:cstheme="minorHAnsi"/>
          <w:iCs/>
          <w:sz w:val="24"/>
          <w:szCs w:val="24"/>
        </w:rPr>
        <w:t xml:space="preserve">IT, </w:t>
      </w:r>
    </w:p>
    <w:p w14:paraId="78D042BB" w14:textId="2153C152" w:rsidR="0085683C" w:rsidRPr="00771E87" w:rsidRDefault="0085683C" w:rsidP="5EC18BF4">
      <w:pPr>
        <w:pStyle w:val="Akapitzlist"/>
        <w:keepLines/>
        <w:widowControl w:val="0"/>
        <w:numPr>
          <w:ilvl w:val="1"/>
          <w:numId w:val="26"/>
        </w:numPr>
        <w:spacing w:after="0" w:line="360" w:lineRule="auto"/>
        <w:rPr>
          <w:rFonts w:cstheme="minorHAnsi"/>
          <w:sz w:val="24"/>
          <w:szCs w:val="24"/>
        </w:rPr>
      </w:pPr>
      <w:r w:rsidRPr="00771E87">
        <w:rPr>
          <w:rFonts w:cstheme="minorHAnsi"/>
          <w:sz w:val="24"/>
          <w:szCs w:val="24"/>
        </w:rPr>
        <w:t xml:space="preserve">szkoleń z zakresu analizy potrzeb klientów, </w:t>
      </w:r>
      <w:r w:rsidR="00A233A5" w:rsidRPr="00771E87">
        <w:rPr>
          <w:rFonts w:cstheme="minorHAnsi"/>
          <w:sz w:val="24"/>
          <w:szCs w:val="24"/>
        </w:rPr>
        <w:t>wprowadzania nowych produktów i usług, wprowadzanych w związku ze zmian</w:t>
      </w:r>
      <w:r w:rsidR="34BBD4F2" w:rsidRPr="00771E87">
        <w:rPr>
          <w:rFonts w:cstheme="minorHAnsi"/>
          <w:sz w:val="24"/>
          <w:szCs w:val="24"/>
        </w:rPr>
        <w:t>ą</w:t>
      </w:r>
      <w:r w:rsidR="00A233A5" w:rsidRPr="00771E87">
        <w:rPr>
          <w:rFonts w:cstheme="minorHAnsi"/>
          <w:sz w:val="24"/>
          <w:szCs w:val="24"/>
        </w:rPr>
        <w:t xml:space="preserve"> preferencji klientów,</w:t>
      </w:r>
    </w:p>
    <w:p w14:paraId="689CEFF3" w14:textId="3F6E24EC" w:rsidR="0085683C" w:rsidRPr="00771E87" w:rsidRDefault="0085683C" w:rsidP="00B25D62">
      <w:pPr>
        <w:pStyle w:val="Akapitzlist"/>
        <w:keepLines/>
        <w:widowControl w:val="0"/>
        <w:numPr>
          <w:ilvl w:val="1"/>
          <w:numId w:val="26"/>
        </w:numPr>
        <w:spacing w:after="0" w:line="360" w:lineRule="auto"/>
        <w:rPr>
          <w:rFonts w:cstheme="minorHAnsi"/>
          <w:iCs/>
          <w:sz w:val="24"/>
          <w:szCs w:val="24"/>
        </w:rPr>
      </w:pPr>
      <w:r w:rsidRPr="00771E87">
        <w:rPr>
          <w:rFonts w:cstheme="minorHAnsi"/>
          <w:iCs/>
          <w:sz w:val="24"/>
          <w:szCs w:val="24"/>
        </w:rPr>
        <w:t xml:space="preserve">szkoleń z zakresu </w:t>
      </w:r>
      <w:r w:rsidRPr="00771E87">
        <w:rPr>
          <w:rFonts w:cstheme="minorHAnsi"/>
          <w:sz w:val="24"/>
          <w:szCs w:val="24"/>
        </w:rPr>
        <w:t>zarządzania</w:t>
      </w:r>
      <w:r w:rsidRPr="00771E87">
        <w:rPr>
          <w:rFonts w:cstheme="minorHAnsi"/>
          <w:iCs/>
          <w:sz w:val="24"/>
          <w:szCs w:val="24"/>
        </w:rPr>
        <w:t xml:space="preserve"> informacjami i danymi oraz </w:t>
      </w:r>
      <w:r w:rsidRPr="00771E87">
        <w:rPr>
          <w:rFonts w:cstheme="minorHAnsi"/>
          <w:sz w:val="24"/>
          <w:szCs w:val="24"/>
        </w:rPr>
        <w:t>zarządzania</w:t>
      </w:r>
      <w:r w:rsidRPr="00771E87">
        <w:rPr>
          <w:rFonts w:cstheme="minorHAnsi"/>
          <w:iCs/>
          <w:sz w:val="24"/>
          <w:szCs w:val="24"/>
        </w:rPr>
        <w:t xml:space="preserve"> ryzykiem,</w:t>
      </w:r>
      <w:r w:rsidR="00A233A5" w:rsidRPr="00771E87">
        <w:rPr>
          <w:rFonts w:cstheme="minorHAnsi"/>
          <w:iCs/>
          <w:sz w:val="24"/>
          <w:szCs w:val="24"/>
        </w:rPr>
        <w:t xml:space="preserve"> zarządzania kryzysowego, które umożliwią adaptację do zmieniających się warunkó</w:t>
      </w:r>
      <w:r w:rsidR="009A1B62" w:rsidRPr="00771E87">
        <w:rPr>
          <w:rFonts w:cstheme="minorHAnsi"/>
          <w:iCs/>
          <w:sz w:val="24"/>
          <w:szCs w:val="24"/>
        </w:rPr>
        <w:t>w</w:t>
      </w:r>
      <w:r w:rsidR="00A233A5" w:rsidRPr="00771E87">
        <w:rPr>
          <w:rFonts w:cstheme="minorHAnsi"/>
          <w:iCs/>
          <w:sz w:val="24"/>
          <w:szCs w:val="24"/>
        </w:rPr>
        <w:t>,</w:t>
      </w:r>
    </w:p>
    <w:p w14:paraId="5CD8F71B" w14:textId="03ED3B19" w:rsidR="0FD956A3" w:rsidRPr="00771E87" w:rsidRDefault="69FB82F6" w:rsidP="0000555D">
      <w:pPr>
        <w:pStyle w:val="Akapitzlist"/>
        <w:keepLines/>
        <w:widowControl w:val="0"/>
        <w:numPr>
          <w:ilvl w:val="1"/>
          <w:numId w:val="26"/>
        </w:numPr>
        <w:spacing w:after="360" w:line="360" w:lineRule="auto"/>
        <w:ind w:left="714" w:hanging="357"/>
        <w:rPr>
          <w:rFonts w:cstheme="minorHAnsi"/>
          <w:sz w:val="24"/>
          <w:szCs w:val="24"/>
        </w:rPr>
      </w:pPr>
      <w:r w:rsidRPr="00771E87">
        <w:rPr>
          <w:rFonts w:cstheme="minorHAnsi"/>
          <w:sz w:val="24"/>
          <w:szCs w:val="24"/>
        </w:rPr>
        <w:t>szkoleń/warsztatów związanych z wprowadzeniem nowych technologii produkcyjnych</w:t>
      </w:r>
      <w:r w:rsidR="529A3FE1" w:rsidRPr="00771E87">
        <w:rPr>
          <w:rFonts w:cstheme="minorHAnsi"/>
          <w:sz w:val="24"/>
          <w:szCs w:val="24"/>
        </w:rPr>
        <w:t xml:space="preserve"> </w:t>
      </w:r>
      <w:r w:rsidRPr="00771E87">
        <w:rPr>
          <w:rFonts w:cstheme="minorHAnsi"/>
          <w:sz w:val="24"/>
          <w:szCs w:val="24"/>
        </w:rPr>
        <w:t>w</w:t>
      </w:r>
      <w:r w:rsidR="00F00B76">
        <w:rPr>
          <w:rFonts w:cstheme="minorHAnsi"/>
          <w:sz w:val="24"/>
          <w:szCs w:val="24"/>
        </w:rPr>
        <w:t> </w:t>
      </w:r>
      <w:r w:rsidRPr="00771E87">
        <w:rPr>
          <w:rFonts w:cstheme="minorHAnsi"/>
          <w:sz w:val="24"/>
          <w:szCs w:val="24"/>
        </w:rPr>
        <w:t>przedsiębiorstwie,</w:t>
      </w:r>
      <w:r w:rsidR="2370E6AB" w:rsidRPr="00771E87">
        <w:rPr>
          <w:rFonts w:cstheme="minorHAnsi"/>
          <w:sz w:val="24"/>
          <w:szCs w:val="24"/>
        </w:rPr>
        <w:t xml:space="preserve"> zarządzaniem innowacjami, marketingiem, sprzedażą,</w:t>
      </w:r>
      <w:r w:rsidR="43D6B65A" w:rsidRPr="00771E87">
        <w:rPr>
          <w:rFonts w:cstheme="minorHAnsi"/>
          <w:sz w:val="24"/>
          <w:szCs w:val="24"/>
        </w:rPr>
        <w:t xml:space="preserve"> </w:t>
      </w:r>
      <w:r w:rsidR="2370E6AB" w:rsidRPr="00771E87">
        <w:rPr>
          <w:rFonts w:cstheme="minorHAnsi"/>
          <w:sz w:val="24"/>
          <w:szCs w:val="24"/>
        </w:rPr>
        <w:t>itp.</w:t>
      </w:r>
    </w:p>
    <w:p w14:paraId="6EBE7CEC" w14:textId="1F80E0A2" w:rsidR="450F1B5E" w:rsidRPr="00771E87" w:rsidRDefault="772B613D" w:rsidP="0000555D">
      <w:pPr>
        <w:keepLines/>
        <w:widowControl w:val="0"/>
        <w:spacing w:after="480" w:line="360" w:lineRule="auto"/>
        <w:rPr>
          <w:rFonts w:eastAsia="Calibri" w:cstheme="minorHAnsi"/>
          <w:sz w:val="24"/>
          <w:szCs w:val="24"/>
        </w:rPr>
      </w:pPr>
      <w:r w:rsidRPr="00771E87">
        <w:rPr>
          <w:rFonts w:cstheme="minorHAnsi"/>
          <w:sz w:val="24"/>
          <w:szCs w:val="24"/>
        </w:rPr>
        <w:t xml:space="preserve">Przy rozliczaniu komponentu szkoleniowego wymagane jest </w:t>
      </w:r>
      <w:r w:rsidR="4082E85F" w:rsidRPr="00771E87">
        <w:rPr>
          <w:rFonts w:cstheme="minorHAnsi"/>
          <w:sz w:val="24"/>
          <w:szCs w:val="24"/>
        </w:rPr>
        <w:t xml:space="preserve">przedstawienie </w:t>
      </w:r>
      <w:r w:rsidRPr="00771E87">
        <w:rPr>
          <w:rFonts w:eastAsia="Calibri" w:cstheme="minorHAnsi"/>
          <w:sz w:val="24"/>
          <w:szCs w:val="24"/>
        </w:rPr>
        <w:t>zaświadczeń</w:t>
      </w:r>
      <w:r w:rsidR="00AE25A5" w:rsidRPr="00771E87">
        <w:rPr>
          <w:rFonts w:eastAsia="Calibri" w:cstheme="minorHAnsi"/>
          <w:sz w:val="24"/>
          <w:szCs w:val="24"/>
        </w:rPr>
        <w:t xml:space="preserve"> </w:t>
      </w:r>
      <w:r w:rsidRPr="00771E87">
        <w:rPr>
          <w:rFonts w:eastAsia="Calibri" w:cstheme="minorHAnsi"/>
          <w:sz w:val="24"/>
          <w:szCs w:val="24"/>
        </w:rPr>
        <w:t>o</w:t>
      </w:r>
      <w:r w:rsidR="00F00B76">
        <w:rPr>
          <w:rFonts w:eastAsia="Calibri" w:cstheme="minorHAnsi"/>
          <w:sz w:val="24"/>
          <w:szCs w:val="24"/>
        </w:rPr>
        <w:t> </w:t>
      </w:r>
      <w:r w:rsidRPr="00771E87">
        <w:rPr>
          <w:rFonts w:eastAsia="Calibri" w:cstheme="minorHAnsi"/>
          <w:sz w:val="24"/>
          <w:szCs w:val="24"/>
        </w:rPr>
        <w:t>szkoleniu lub raportu/sprawozdania końcowego wykonawcy z wykonanych usług szkoleniowych oraz informacj</w:t>
      </w:r>
      <w:r w:rsidR="5BFE0BDC" w:rsidRPr="00771E87">
        <w:rPr>
          <w:rFonts w:eastAsia="Calibri" w:cstheme="minorHAnsi"/>
          <w:sz w:val="24"/>
          <w:szCs w:val="24"/>
        </w:rPr>
        <w:t xml:space="preserve">i </w:t>
      </w:r>
      <w:r w:rsidRPr="00771E87">
        <w:rPr>
          <w:rFonts w:eastAsia="Calibri" w:cstheme="minorHAnsi"/>
          <w:sz w:val="24"/>
          <w:szCs w:val="24"/>
        </w:rPr>
        <w:t>na temat rodzaju zapewnionego szkolenia wraz ze szczegółami jego treści</w:t>
      </w:r>
      <w:r w:rsidR="5B4B8C0F" w:rsidRPr="00771E87">
        <w:rPr>
          <w:rFonts w:eastAsia="Calibri" w:cstheme="minorHAnsi"/>
          <w:sz w:val="24"/>
          <w:szCs w:val="24"/>
        </w:rPr>
        <w:t xml:space="preserve">, </w:t>
      </w:r>
      <w:r w:rsidR="5B4B8C0F" w:rsidRPr="00771E87">
        <w:rPr>
          <w:rFonts w:cstheme="minorHAnsi"/>
          <w:sz w:val="24"/>
          <w:szCs w:val="24"/>
          <w:lang w:eastAsia="pl-PL"/>
        </w:rPr>
        <w:t xml:space="preserve">oraz ankiety na temat uczestników biorących udział w kształceniu lub szkoleniu, </w:t>
      </w:r>
      <w:r w:rsidR="5F6D0F56" w:rsidRPr="00771E87">
        <w:rPr>
          <w:rFonts w:cstheme="minorHAnsi"/>
          <w:sz w:val="24"/>
          <w:szCs w:val="24"/>
          <w:lang w:eastAsia="pl-PL"/>
        </w:rPr>
        <w:t>z wyszczególnieniem</w:t>
      </w:r>
      <w:r w:rsidR="5B4B8C0F" w:rsidRPr="00771E87">
        <w:rPr>
          <w:rFonts w:cstheme="minorHAnsi"/>
          <w:sz w:val="24"/>
          <w:szCs w:val="24"/>
          <w:lang w:eastAsia="pl-PL"/>
        </w:rPr>
        <w:t xml:space="preserve"> uczestników szkoleń z umiejętności cyfrowych; dane w podziale na płeć oraz wiek: 0-17, 18-29, 30-54, 55+</w:t>
      </w:r>
    </w:p>
    <w:p w14:paraId="0E65FDE7" w14:textId="46544E2C" w:rsidR="001E0B00" w:rsidRPr="00771E87" w:rsidRDefault="551F8A7F" w:rsidP="0000555D">
      <w:pPr>
        <w:pStyle w:val="NCBR2Nagowek"/>
        <w:spacing w:after="360"/>
        <w:rPr>
          <w:rFonts w:asciiTheme="minorHAnsi" w:hAnsiTheme="minorHAnsi" w:cstheme="minorHAnsi"/>
          <w:szCs w:val="28"/>
        </w:rPr>
      </w:pPr>
      <w:bookmarkStart w:id="108" w:name="_Toc153712617"/>
      <w:bookmarkStart w:id="109" w:name="_Toc162526830"/>
      <w:r w:rsidRPr="00771E87">
        <w:rPr>
          <w:rFonts w:asciiTheme="minorHAnsi" w:hAnsiTheme="minorHAnsi" w:cstheme="minorHAnsi"/>
          <w:szCs w:val="28"/>
        </w:rPr>
        <w:t xml:space="preserve">6. </w:t>
      </w:r>
      <w:r w:rsidR="6015F195" w:rsidRPr="00771E87">
        <w:rPr>
          <w:rFonts w:asciiTheme="minorHAnsi" w:hAnsiTheme="minorHAnsi" w:cstheme="minorHAnsi"/>
          <w:szCs w:val="28"/>
        </w:rPr>
        <w:t xml:space="preserve">Komponent doradczy - </w:t>
      </w:r>
      <w:r w:rsidR="5BD75893" w:rsidRPr="00771E87">
        <w:rPr>
          <w:rFonts w:asciiTheme="minorHAnsi" w:hAnsiTheme="minorHAnsi" w:cstheme="minorHAnsi"/>
          <w:szCs w:val="28"/>
        </w:rPr>
        <w:t>usług</w:t>
      </w:r>
      <w:r w:rsidR="2BB6A507" w:rsidRPr="00771E87">
        <w:rPr>
          <w:rFonts w:asciiTheme="minorHAnsi" w:hAnsiTheme="minorHAnsi" w:cstheme="minorHAnsi"/>
          <w:szCs w:val="28"/>
        </w:rPr>
        <w:t>i</w:t>
      </w:r>
      <w:r w:rsidR="5BD75893" w:rsidRPr="00771E87">
        <w:rPr>
          <w:rFonts w:asciiTheme="minorHAnsi" w:hAnsiTheme="minorHAnsi" w:cstheme="minorHAnsi"/>
          <w:szCs w:val="28"/>
        </w:rPr>
        <w:t xml:space="preserve"> rozwojow</w:t>
      </w:r>
      <w:r w:rsidR="7DE7CCC8" w:rsidRPr="00771E87">
        <w:rPr>
          <w:rFonts w:asciiTheme="minorHAnsi" w:hAnsiTheme="minorHAnsi" w:cstheme="minorHAnsi"/>
          <w:szCs w:val="28"/>
        </w:rPr>
        <w:t>e</w:t>
      </w:r>
      <w:bookmarkEnd w:id="108"/>
      <w:bookmarkEnd w:id="109"/>
    </w:p>
    <w:p w14:paraId="1A6EF04B" w14:textId="623ABE64" w:rsidR="5CC1AC5E" w:rsidRPr="00771E87" w:rsidRDefault="5CC1AC5E" w:rsidP="75A0D702">
      <w:pPr>
        <w:spacing w:after="0" w:line="360" w:lineRule="auto"/>
        <w:rPr>
          <w:sz w:val="24"/>
          <w:szCs w:val="24"/>
        </w:rPr>
      </w:pPr>
      <w:r w:rsidRPr="00771E87">
        <w:rPr>
          <w:sz w:val="24"/>
          <w:szCs w:val="24"/>
        </w:rPr>
        <w:t>Do</w:t>
      </w:r>
      <w:r w:rsidR="4F8EE4CF" w:rsidRPr="00771E87">
        <w:rPr>
          <w:sz w:val="24"/>
          <w:szCs w:val="24"/>
        </w:rPr>
        <w:t xml:space="preserve"> tej kategorii należy zaliczyć k</w:t>
      </w:r>
      <w:r w:rsidR="7835C5F2" w:rsidRPr="00771E87">
        <w:rPr>
          <w:sz w:val="24"/>
          <w:szCs w:val="24"/>
        </w:rPr>
        <w:t>oszty usług doradczych niezbędnych do wdrożenia innowacji świadczonych przez doradców zewnętrznych. Usługi doradcze nie mogą mieć charakteru ciągłego ani okresowego, nie mogą być też związane z bieżącą działalnością operacyjną MŚP,</w:t>
      </w:r>
      <w:r w:rsidR="00AE25A5" w:rsidRPr="00771E87">
        <w:rPr>
          <w:sz w:val="24"/>
          <w:szCs w:val="24"/>
        </w:rPr>
        <w:t xml:space="preserve"> </w:t>
      </w:r>
      <w:r w:rsidR="7835C5F2" w:rsidRPr="00771E87">
        <w:rPr>
          <w:sz w:val="24"/>
          <w:szCs w:val="24"/>
        </w:rPr>
        <w:t>w</w:t>
      </w:r>
      <w:r w:rsidR="00F00B76">
        <w:rPr>
          <w:sz w:val="24"/>
          <w:szCs w:val="24"/>
        </w:rPr>
        <w:t> </w:t>
      </w:r>
      <w:r w:rsidR="7835C5F2" w:rsidRPr="00771E87">
        <w:rPr>
          <w:sz w:val="24"/>
          <w:szCs w:val="24"/>
        </w:rPr>
        <w:t>szczególności w zakresie doradztwa podatkowego, księgowego, stałej obsługi prawnej lub reklamy</w:t>
      </w:r>
      <w:r w:rsidR="3BC89F9D" w:rsidRPr="00771E87">
        <w:rPr>
          <w:sz w:val="24"/>
          <w:szCs w:val="24"/>
        </w:rPr>
        <w:t>.</w:t>
      </w:r>
      <w:r w:rsidR="32798FEE" w:rsidRPr="00771E87">
        <w:rPr>
          <w:sz w:val="24"/>
          <w:szCs w:val="24"/>
        </w:rPr>
        <w:t xml:space="preserve"> </w:t>
      </w:r>
      <w:r w:rsidR="359F9DA2" w:rsidRPr="00771E87">
        <w:rPr>
          <w:sz w:val="24"/>
          <w:szCs w:val="24"/>
        </w:rPr>
        <w:t>Usługa doradcza nie może</w:t>
      </w:r>
      <w:r w:rsidR="2398B51C" w:rsidRPr="00771E87">
        <w:rPr>
          <w:sz w:val="24"/>
          <w:szCs w:val="24"/>
        </w:rPr>
        <w:t xml:space="preserve"> również</w:t>
      </w:r>
      <w:r w:rsidR="359F9DA2" w:rsidRPr="00771E87">
        <w:rPr>
          <w:sz w:val="24"/>
          <w:szCs w:val="24"/>
        </w:rPr>
        <w:t xml:space="preserve"> dotyczyć kosztów </w:t>
      </w:r>
      <w:r w:rsidR="2775F9CF" w:rsidRPr="00771E87">
        <w:rPr>
          <w:sz w:val="24"/>
          <w:szCs w:val="24"/>
        </w:rPr>
        <w:t>związanych z zarządzaniem przedsięwzięciem MŚP.</w:t>
      </w:r>
    </w:p>
    <w:p w14:paraId="15D9BC8F" w14:textId="499DAB77" w:rsidR="0048021F" w:rsidRPr="00771E87" w:rsidRDefault="25EC061A" w:rsidP="450F1B5E">
      <w:pPr>
        <w:spacing w:after="0" w:line="360" w:lineRule="auto"/>
        <w:rPr>
          <w:rFonts w:cstheme="minorHAnsi"/>
          <w:sz w:val="24"/>
          <w:szCs w:val="24"/>
        </w:rPr>
      </w:pPr>
      <w:r w:rsidRPr="00771E87">
        <w:rPr>
          <w:rFonts w:cstheme="minorHAnsi"/>
          <w:sz w:val="24"/>
          <w:szCs w:val="24"/>
        </w:rPr>
        <w:t>Będą to</w:t>
      </w:r>
      <w:r w:rsidR="7C7C0112" w:rsidRPr="00771E87">
        <w:rPr>
          <w:rFonts w:cstheme="minorHAnsi"/>
          <w:sz w:val="24"/>
          <w:szCs w:val="24"/>
        </w:rPr>
        <w:t xml:space="preserve"> koszty usług rozwojowych (innych niż szkolenia) w zakresie realizacji </w:t>
      </w:r>
      <w:r w:rsidR="06AF653B" w:rsidRPr="00771E87">
        <w:rPr>
          <w:rFonts w:cstheme="minorHAnsi"/>
          <w:sz w:val="24"/>
          <w:szCs w:val="24"/>
        </w:rPr>
        <w:t>p</w:t>
      </w:r>
      <w:r w:rsidR="7C7C0112" w:rsidRPr="00771E87">
        <w:rPr>
          <w:rFonts w:cstheme="minorHAnsi"/>
          <w:sz w:val="24"/>
          <w:szCs w:val="24"/>
        </w:rPr>
        <w:t>rzedsięwzię</w:t>
      </w:r>
      <w:r w:rsidR="0D4D73EB" w:rsidRPr="00771E87">
        <w:rPr>
          <w:rFonts w:cstheme="minorHAnsi"/>
          <w:sz w:val="24"/>
          <w:szCs w:val="24"/>
        </w:rPr>
        <w:t>cia</w:t>
      </w:r>
      <w:r w:rsidR="7C7C0112" w:rsidRPr="00771E87">
        <w:rPr>
          <w:rFonts w:cstheme="minorHAnsi"/>
          <w:sz w:val="24"/>
          <w:szCs w:val="24"/>
        </w:rPr>
        <w:t xml:space="preserve"> MŚP, takie jak: </w:t>
      </w:r>
    </w:p>
    <w:p w14:paraId="5D236EEC" w14:textId="5E912039" w:rsidR="0048021F" w:rsidRPr="00771E87" w:rsidRDefault="787509AE" w:rsidP="39F53199">
      <w:pPr>
        <w:pStyle w:val="Akapitzlist"/>
        <w:keepLines/>
        <w:widowControl w:val="0"/>
        <w:numPr>
          <w:ilvl w:val="1"/>
          <w:numId w:val="28"/>
        </w:numPr>
        <w:spacing w:after="0" w:line="360" w:lineRule="auto"/>
        <w:rPr>
          <w:rFonts w:cstheme="minorHAnsi"/>
          <w:sz w:val="24"/>
          <w:szCs w:val="24"/>
        </w:rPr>
      </w:pPr>
      <w:r w:rsidRPr="00771E87">
        <w:rPr>
          <w:rFonts w:cstheme="minorHAnsi"/>
          <w:sz w:val="24"/>
          <w:szCs w:val="24"/>
        </w:rPr>
        <w:t xml:space="preserve">analiza dotychczasowego modelu biznesowego przedsiębiorstwa wraz z propozycją zmian tego modelu (opracowanie nowego modelu biznesowego) pod kątem rozszerzenia lub </w:t>
      </w:r>
      <w:r w:rsidR="00245690" w:rsidRPr="00771E87">
        <w:rPr>
          <w:rFonts w:cstheme="minorHAnsi"/>
          <w:sz w:val="24"/>
          <w:szCs w:val="24"/>
        </w:rPr>
        <w:t xml:space="preserve">dywersyfikacji </w:t>
      </w:r>
      <w:r w:rsidRPr="00771E87">
        <w:rPr>
          <w:rFonts w:cstheme="minorHAnsi"/>
          <w:sz w:val="24"/>
          <w:szCs w:val="24"/>
        </w:rPr>
        <w:t xml:space="preserve">działalności przedsiębiorstwa, </w:t>
      </w:r>
    </w:p>
    <w:p w14:paraId="1BFAEC4A" w14:textId="77777777" w:rsidR="007345F3" w:rsidRPr="00771E87" w:rsidRDefault="0048021F" w:rsidP="00B25D62">
      <w:pPr>
        <w:pStyle w:val="Akapitzlist"/>
        <w:keepLines/>
        <w:widowControl w:val="0"/>
        <w:numPr>
          <w:ilvl w:val="1"/>
          <w:numId w:val="28"/>
        </w:numPr>
        <w:spacing w:after="0" w:line="360" w:lineRule="auto"/>
        <w:rPr>
          <w:rFonts w:cstheme="minorHAnsi"/>
          <w:iCs/>
          <w:sz w:val="24"/>
          <w:szCs w:val="24"/>
        </w:rPr>
      </w:pPr>
      <w:r w:rsidRPr="00771E87">
        <w:rPr>
          <w:rFonts w:cstheme="minorHAnsi"/>
          <w:iCs/>
          <w:sz w:val="24"/>
          <w:szCs w:val="24"/>
        </w:rPr>
        <w:t>koszty usług związanych z opracowaniem procedur technicznych.</w:t>
      </w:r>
    </w:p>
    <w:p w14:paraId="4569A7C3" w14:textId="7C93C481" w:rsidR="0FD956A3" w:rsidRPr="00771E87" w:rsidRDefault="115659F8" w:rsidP="75A0D702">
      <w:pPr>
        <w:pStyle w:val="Akapitzlist"/>
        <w:keepLines/>
        <w:widowControl w:val="0"/>
        <w:numPr>
          <w:ilvl w:val="1"/>
          <w:numId w:val="28"/>
        </w:numPr>
        <w:spacing w:after="360" w:line="360" w:lineRule="auto"/>
        <w:ind w:left="714" w:hanging="357"/>
        <w:rPr>
          <w:sz w:val="24"/>
          <w:szCs w:val="24"/>
        </w:rPr>
      </w:pPr>
      <w:r w:rsidRPr="00771E87">
        <w:rPr>
          <w:sz w:val="24"/>
          <w:szCs w:val="24"/>
        </w:rPr>
        <w:t>koszty uzyskania pozwoleń, zezwoleń lub koncesji, niezbędnych do realizacji przedsięwzięcia MŚP.</w:t>
      </w:r>
    </w:p>
    <w:p w14:paraId="511F7CE9" w14:textId="659FB40F" w:rsidR="007345F3" w:rsidRPr="00771E87" w:rsidRDefault="68666D42" w:rsidP="0FD956A3">
      <w:pPr>
        <w:keepLines/>
        <w:widowControl w:val="0"/>
        <w:spacing w:after="0" w:line="360" w:lineRule="auto"/>
        <w:rPr>
          <w:rFonts w:eastAsia="Calibri" w:cstheme="minorHAnsi"/>
          <w:sz w:val="24"/>
          <w:szCs w:val="24"/>
        </w:rPr>
      </w:pPr>
      <w:r w:rsidRPr="00771E87">
        <w:rPr>
          <w:rFonts w:cstheme="minorHAnsi"/>
          <w:sz w:val="24"/>
          <w:szCs w:val="24"/>
        </w:rPr>
        <w:t xml:space="preserve">Przy rozliczaniu komponentu doradczego wymagane jest przedstawienie </w:t>
      </w:r>
      <w:r w:rsidRPr="00771E87">
        <w:rPr>
          <w:rFonts w:eastAsia="Calibri" w:cstheme="minorHAnsi"/>
          <w:sz w:val="24"/>
          <w:szCs w:val="24"/>
        </w:rPr>
        <w:t>raportu końcowego wykonan</w:t>
      </w:r>
      <w:r w:rsidR="76DD1180" w:rsidRPr="00771E87">
        <w:rPr>
          <w:rFonts w:eastAsia="Calibri" w:cstheme="minorHAnsi"/>
          <w:sz w:val="24"/>
          <w:szCs w:val="24"/>
        </w:rPr>
        <w:t>ego</w:t>
      </w:r>
      <w:r w:rsidRPr="00771E87">
        <w:rPr>
          <w:rFonts w:eastAsia="Calibri" w:cstheme="minorHAnsi"/>
          <w:sz w:val="24"/>
          <w:szCs w:val="24"/>
        </w:rPr>
        <w:t xml:space="preserve"> przez wykonawcę świadczonych usług doradczych</w:t>
      </w:r>
      <w:r w:rsidR="3AC74170" w:rsidRPr="00771E87">
        <w:rPr>
          <w:rFonts w:eastAsia="Calibri" w:cstheme="minorHAnsi"/>
          <w:sz w:val="24"/>
          <w:szCs w:val="24"/>
        </w:rPr>
        <w:t>.</w:t>
      </w:r>
    </w:p>
    <w:p w14:paraId="378F92F4" w14:textId="6D03833D" w:rsidR="00F20F5B" w:rsidRPr="00771E87" w:rsidRDefault="214AE9C6" w:rsidP="0052493A">
      <w:pPr>
        <w:keepLines/>
        <w:widowControl w:val="0"/>
        <w:spacing w:after="480" w:line="360" w:lineRule="auto"/>
        <w:rPr>
          <w:rFonts w:eastAsia="Calibri" w:cstheme="minorHAnsi"/>
          <w:sz w:val="24"/>
          <w:szCs w:val="24"/>
        </w:rPr>
      </w:pPr>
      <w:r w:rsidRPr="00771E87">
        <w:rPr>
          <w:rFonts w:eastAsia="Calibri" w:cstheme="minorHAnsi"/>
          <w:sz w:val="24"/>
          <w:szCs w:val="24"/>
        </w:rPr>
        <w:t>W związku z tym, iż usługa doradcza ma na celu zapewnienie osiągnięcia lepszej jakości przedsięwzięcia MŚP</w:t>
      </w:r>
      <w:r w:rsidR="5F7C5336" w:rsidRPr="00771E87">
        <w:rPr>
          <w:rFonts w:eastAsia="Calibri" w:cstheme="minorHAnsi"/>
          <w:sz w:val="24"/>
          <w:szCs w:val="24"/>
        </w:rPr>
        <w:t>,</w:t>
      </w:r>
      <w:r w:rsidRPr="00771E87">
        <w:rPr>
          <w:rFonts w:eastAsia="Calibri" w:cstheme="minorHAnsi"/>
          <w:sz w:val="24"/>
          <w:szCs w:val="24"/>
        </w:rPr>
        <w:t xml:space="preserve"> wydatki w ramach komponentu doradczego powinny być co do zasady rozliczone przez MŚP w terminie wcześniejszym</w:t>
      </w:r>
      <w:r w:rsidR="1A50425B" w:rsidRPr="00771E87">
        <w:rPr>
          <w:rFonts w:eastAsia="Calibri" w:cstheme="minorHAnsi"/>
          <w:sz w:val="24"/>
          <w:szCs w:val="24"/>
        </w:rPr>
        <w:t xml:space="preserve"> lub równolegle z </w:t>
      </w:r>
      <w:r w:rsidRPr="00771E87">
        <w:rPr>
          <w:rFonts w:eastAsia="Calibri" w:cstheme="minorHAnsi"/>
          <w:sz w:val="24"/>
          <w:szCs w:val="24"/>
        </w:rPr>
        <w:t>wydatk</w:t>
      </w:r>
      <w:r w:rsidR="7E0026A5" w:rsidRPr="00771E87">
        <w:rPr>
          <w:rFonts w:eastAsia="Calibri" w:cstheme="minorHAnsi"/>
          <w:sz w:val="24"/>
          <w:szCs w:val="24"/>
        </w:rPr>
        <w:t>ami</w:t>
      </w:r>
      <w:r w:rsidRPr="00771E87">
        <w:rPr>
          <w:rFonts w:eastAsia="Calibri" w:cstheme="minorHAnsi"/>
          <w:sz w:val="24"/>
          <w:szCs w:val="24"/>
        </w:rPr>
        <w:t xml:space="preserve"> w ramach pozostałych komponentów.</w:t>
      </w:r>
    </w:p>
    <w:p w14:paraId="06394478" w14:textId="2B86F6C7" w:rsidR="001916EC" w:rsidRPr="00771E87" w:rsidRDefault="00507E19" w:rsidP="0052493A">
      <w:pPr>
        <w:pStyle w:val="NCBR2Nagowek"/>
        <w:spacing w:after="360"/>
        <w:rPr>
          <w:rFonts w:asciiTheme="minorHAnsi" w:hAnsiTheme="minorHAnsi" w:cstheme="minorHAnsi"/>
        </w:rPr>
      </w:pPr>
      <w:bookmarkStart w:id="110" w:name="_Toc153712618"/>
      <w:bookmarkStart w:id="111" w:name="_Toc162526831"/>
      <w:r w:rsidRPr="00771E87">
        <w:rPr>
          <w:rFonts w:asciiTheme="minorHAnsi" w:hAnsiTheme="minorHAnsi" w:cstheme="minorHAnsi"/>
        </w:rPr>
        <w:t xml:space="preserve">7. </w:t>
      </w:r>
      <w:r w:rsidR="00AB209B" w:rsidRPr="00771E87">
        <w:rPr>
          <w:rFonts w:asciiTheme="minorHAnsi" w:hAnsiTheme="minorHAnsi" w:cstheme="minorHAnsi"/>
        </w:rPr>
        <w:t>Dokumentowanie wydatków.</w:t>
      </w:r>
      <w:bookmarkEnd w:id="110"/>
      <w:bookmarkEnd w:id="111"/>
    </w:p>
    <w:p w14:paraId="190E3A6D" w14:textId="29B9FD86" w:rsidR="00FF6546" w:rsidRPr="00771E87" w:rsidRDefault="11D3CC87" w:rsidP="5C24ED9C">
      <w:pPr>
        <w:autoSpaceDE w:val="0"/>
        <w:autoSpaceDN w:val="0"/>
        <w:adjustRightInd w:val="0"/>
        <w:spacing w:after="0" w:line="360" w:lineRule="auto"/>
        <w:rPr>
          <w:rFonts w:cstheme="minorHAnsi"/>
          <w:sz w:val="24"/>
          <w:szCs w:val="24"/>
          <w:lang w:eastAsia="pl-PL"/>
        </w:rPr>
      </w:pPr>
      <w:r w:rsidRPr="00771E87">
        <w:rPr>
          <w:rFonts w:cstheme="minorHAnsi"/>
          <w:sz w:val="24"/>
          <w:szCs w:val="24"/>
          <w:lang w:eastAsia="pl-PL"/>
        </w:rPr>
        <w:t>Przedsiębiorca</w:t>
      </w:r>
      <w:r w:rsidR="74F38B29" w:rsidRPr="00771E87">
        <w:rPr>
          <w:rFonts w:cstheme="minorHAnsi"/>
          <w:sz w:val="24"/>
          <w:szCs w:val="24"/>
          <w:lang w:eastAsia="pl-PL"/>
        </w:rPr>
        <w:t xml:space="preserve"> </w:t>
      </w:r>
      <w:r w:rsidR="71A8C86B" w:rsidRPr="00771E87">
        <w:rPr>
          <w:rFonts w:cstheme="minorHAnsi"/>
          <w:sz w:val="24"/>
          <w:szCs w:val="24"/>
          <w:lang w:eastAsia="pl-PL"/>
        </w:rPr>
        <w:t xml:space="preserve">zgodnie z umową o objęcie przedsięwzięcia </w:t>
      </w:r>
      <w:r w:rsidR="0DBD8C31" w:rsidRPr="00771E87">
        <w:rPr>
          <w:rFonts w:cstheme="minorHAnsi"/>
          <w:sz w:val="24"/>
          <w:szCs w:val="24"/>
          <w:lang w:eastAsia="pl-PL"/>
        </w:rPr>
        <w:t xml:space="preserve">MŚP </w:t>
      </w:r>
      <w:r w:rsidR="71A8C86B" w:rsidRPr="00771E87">
        <w:rPr>
          <w:rFonts w:cstheme="minorHAnsi"/>
          <w:sz w:val="24"/>
          <w:szCs w:val="24"/>
          <w:lang w:eastAsia="pl-PL"/>
        </w:rPr>
        <w:t>wsparciem zobowiązany</w:t>
      </w:r>
      <w:r w:rsidR="62C236E5" w:rsidRPr="00771E87">
        <w:rPr>
          <w:rFonts w:cstheme="minorHAnsi"/>
          <w:sz w:val="24"/>
          <w:szCs w:val="24"/>
          <w:lang w:eastAsia="pl-PL"/>
        </w:rPr>
        <w:t xml:space="preserve"> </w:t>
      </w:r>
      <w:r w:rsidR="71A8C86B" w:rsidRPr="00771E87">
        <w:rPr>
          <w:rFonts w:cstheme="minorHAnsi"/>
          <w:sz w:val="24"/>
          <w:szCs w:val="24"/>
          <w:lang w:eastAsia="pl-PL"/>
        </w:rPr>
        <w:t>jest</w:t>
      </w:r>
      <w:r w:rsidR="0BB726F5" w:rsidRPr="00771E87">
        <w:rPr>
          <w:rFonts w:cstheme="minorHAnsi"/>
          <w:sz w:val="24"/>
          <w:szCs w:val="24"/>
          <w:lang w:eastAsia="pl-PL"/>
        </w:rPr>
        <w:t xml:space="preserve"> </w:t>
      </w:r>
      <w:r w:rsidR="74F38B29" w:rsidRPr="00771E87">
        <w:rPr>
          <w:rFonts w:cstheme="minorHAnsi"/>
          <w:sz w:val="24"/>
          <w:szCs w:val="24"/>
          <w:lang w:eastAsia="pl-PL"/>
        </w:rPr>
        <w:t>do posiadania dokumentacji związanej z </w:t>
      </w:r>
      <w:r w:rsidR="0DBD8C31" w:rsidRPr="00771E87">
        <w:rPr>
          <w:rFonts w:cstheme="minorHAnsi"/>
          <w:sz w:val="24"/>
          <w:szCs w:val="24"/>
          <w:lang w:eastAsia="pl-PL"/>
        </w:rPr>
        <w:t>p</w:t>
      </w:r>
      <w:r w:rsidR="74F38B29" w:rsidRPr="00771E87">
        <w:rPr>
          <w:rFonts w:cstheme="minorHAnsi"/>
          <w:sz w:val="24"/>
          <w:szCs w:val="24"/>
          <w:lang w:eastAsia="pl-PL"/>
        </w:rPr>
        <w:t>rzedsięwzięciem MŚP, w szczególności:</w:t>
      </w:r>
    </w:p>
    <w:p w14:paraId="51E424AA" w14:textId="77777777" w:rsidR="00FF6546" w:rsidRPr="00771E87" w:rsidRDefault="00FF6546" w:rsidP="00B25D62">
      <w:pPr>
        <w:pStyle w:val="Akapitzlist"/>
        <w:numPr>
          <w:ilvl w:val="1"/>
          <w:numId w:val="19"/>
        </w:numPr>
        <w:tabs>
          <w:tab w:val="clear" w:pos="1440"/>
          <w:tab w:val="num" w:pos="851"/>
        </w:tabs>
        <w:autoSpaceDE w:val="0"/>
        <w:autoSpaceDN w:val="0"/>
        <w:adjustRightInd w:val="0"/>
        <w:spacing w:after="0" w:line="360" w:lineRule="auto"/>
        <w:ind w:left="851" w:hanging="425"/>
        <w:rPr>
          <w:rFonts w:cstheme="minorHAnsi"/>
          <w:sz w:val="24"/>
          <w:szCs w:val="24"/>
          <w:lang w:eastAsia="pl-PL"/>
        </w:rPr>
      </w:pPr>
      <w:r w:rsidRPr="00771E87">
        <w:rPr>
          <w:rFonts w:cstheme="minorHAnsi"/>
          <w:sz w:val="24"/>
          <w:szCs w:val="24"/>
          <w:lang w:eastAsia="pl-PL"/>
        </w:rPr>
        <w:t>dokumentów potwierdzających poniesienie wydatków, tj.:</w:t>
      </w:r>
    </w:p>
    <w:p w14:paraId="385F6905" w14:textId="6041CDC4" w:rsidR="00FF6546" w:rsidRPr="00771E87" w:rsidRDefault="00FF6546" w:rsidP="00B25D62">
      <w:pPr>
        <w:pStyle w:val="Akapitzlist"/>
        <w:numPr>
          <w:ilvl w:val="2"/>
          <w:numId w:val="18"/>
        </w:numPr>
        <w:autoSpaceDE w:val="0"/>
        <w:autoSpaceDN w:val="0"/>
        <w:adjustRightInd w:val="0"/>
        <w:spacing w:after="0" w:line="360" w:lineRule="auto"/>
        <w:ind w:left="1276" w:hanging="425"/>
        <w:rPr>
          <w:rFonts w:cstheme="minorHAnsi"/>
          <w:sz w:val="24"/>
          <w:szCs w:val="24"/>
          <w:lang w:eastAsia="pl-PL"/>
        </w:rPr>
      </w:pPr>
      <w:r w:rsidRPr="00771E87">
        <w:rPr>
          <w:rFonts w:cstheme="minorHAnsi"/>
          <w:sz w:val="24"/>
          <w:szCs w:val="24"/>
          <w:lang w:eastAsia="pl-PL"/>
        </w:rPr>
        <w:t>dokumentów księgowych (faktur lub dokumentów o równoważnej wartości</w:t>
      </w:r>
      <w:r w:rsidR="005A4030" w:rsidRPr="00771E87">
        <w:rPr>
          <w:rFonts w:cstheme="minorHAnsi"/>
          <w:sz w:val="24"/>
          <w:szCs w:val="24"/>
          <w:lang w:eastAsia="pl-PL"/>
        </w:rPr>
        <w:t xml:space="preserve"> </w:t>
      </w:r>
      <w:r w:rsidRPr="00771E87">
        <w:rPr>
          <w:rFonts w:cstheme="minorHAnsi"/>
          <w:sz w:val="24"/>
          <w:szCs w:val="24"/>
          <w:lang w:eastAsia="pl-PL"/>
        </w:rPr>
        <w:t xml:space="preserve">dowodowej), potwierdzających poniesienie wydatków oraz potwierdzających dokonanie zapłaty, opisanych w sposób umożliwiający ich przypisanie określonym pozycjom w Harmonogramie rzeczowo-finansowym </w:t>
      </w:r>
      <w:r w:rsidR="001B2F3A" w:rsidRPr="00771E87">
        <w:rPr>
          <w:rFonts w:cstheme="minorHAnsi"/>
          <w:sz w:val="24"/>
          <w:szCs w:val="24"/>
          <w:lang w:eastAsia="pl-PL"/>
        </w:rPr>
        <w:t>p</w:t>
      </w:r>
      <w:r w:rsidRPr="00771E87">
        <w:rPr>
          <w:rFonts w:cstheme="minorHAnsi"/>
          <w:sz w:val="24"/>
          <w:szCs w:val="24"/>
          <w:lang w:eastAsia="pl-PL"/>
        </w:rPr>
        <w:t>rzedsięwzięcia MŚP,</w:t>
      </w:r>
    </w:p>
    <w:p w14:paraId="3F4CC7CC" w14:textId="0DE8C301" w:rsidR="00FF6546" w:rsidRPr="00771E87" w:rsidRDefault="00FF6546" w:rsidP="00B25D62">
      <w:pPr>
        <w:pStyle w:val="Akapitzlist"/>
        <w:numPr>
          <w:ilvl w:val="2"/>
          <w:numId w:val="18"/>
        </w:numPr>
        <w:autoSpaceDE w:val="0"/>
        <w:autoSpaceDN w:val="0"/>
        <w:adjustRightInd w:val="0"/>
        <w:spacing w:after="0" w:line="360" w:lineRule="auto"/>
        <w:ind w:left="1276" w:hanging="425"/>
        <w:rPr>
          <w:rFonts w:cstheme="minorHAnsi"/>
          <w:sz w:val="24"/>
          <w:szCs w:val="24"/>
          <w:lang w:eastAsia="pl-PL"/>
        </w:rPr>
      </w:pPr>
      <w:r w:rsidRPr="00771E87">
        <w:rPr>
          <w:rFonts w:cstheme="minorHAnsi"/>
          <w:sz w:val="24"/>
          <w:szCs w:val="24"/>
          <w:lang w:eastAsia="pl-PL"/>
        </w:rPr>
        <w:t xml:space="preserve">protokołów odbioru dokumentujących wykonanie robót, dokumentów potwierdzających przyjęcie środków trwałych do użytkowania lub innych dokumentów potwierdzających zgodność realizacji </w:t>
      </w:r>
      <w:r w:rsidR="001B2F3A" w:rsidRPr="00771E87">
        <w:rPr>
          <w:rFonts w:cstheme="minorHAnsi"/>
          <w:sz w:val="24"/>
          <w:szCs w:val="24"/>
          <w:lang w:eastAsia="pl-PL"/>
        </w:rPr>
        <w:t>p</w:t>
      </w:r>
      <w:r w:rsidRPr="00771E87">
        <w:rPr>
          <w:rFonts w:cstheme="minorHAnsi"/>
          <w:sz w:val="24"/>
          <w:szCs w:val="24"/>
          <w:lang w:eastAsia="pl-PL"/>
        </w:rPr>
        <w:t>rzedsięwzięcia MŚP z warunkami Umowy,</w:t>
      </w:r>
    </w:p>
    <w:p w14:paraId="7F99B4EC" w14:textId="77777777" w:rsidR="00FF6546" w:rsidRPr="00771E87" w:rsidRDefault="00FF6546" w:rsidP="00B25D62">
      <w:pPr>
        <w:pStyle w:val="Akapitzlist"/>
        <w:numPr>
          <w:ilvl w:val="2"/>
          <w:numId w:val="18"/>
        </w:numPr>
        <w:autoSpaceDE w:val="0"/>
        <w:autoSpaceDN w:val="0"/>
        <w:adjustRightInd w:val="0"/>
        <w:spacing w:after="0" w:line="360" w:lineRule="auto"/>
        <w:ind w:left="1276" w:hanging="425"/>
        <w:rPr>
          <w:rFonts w:cstheme="minorHAnsi"/>
          <w:sz w:val="24"/>
          <w:szCs w:val="24"/>
          <w:lang w:eastAsia="pl-PL"/>
        </w:rPr>
      </w:pPr>
      <w:r w:rsidRPr="00771E87">
        <w:rPr>
          <w:rFonts w:cstheme="minorHAnsi"/>
          <w:sz w:val="24"/>
          <w:szCs w:val="24"/>
          <w:lang w:eastAsia="pl-PL"/>
        </w:rPr>
        <w:lastRenderedPageBreak/>
        <w:t>dokumentów związanych z przeprowadzeniem postępowań o udzielenie zamówienia dla wydatków wykazanych w danym wniosku o płatność,</w:t>
      </w:r>
    </w:p>
    <w:p w14:paraId="1E766DB2" w14:textId="460D66BB" w:rsidR="00FF6546" w:rsidRPr="00771E87" w:rsidRDefault="00FF6546" w:rsidP="00B25D62">
      <w:pPr>
        <w:pStyle w:val="Akapitzlist"/>
        <w:numPr>
          <w:ilvl w:val="2"/>
          <w:numId w:val="18"/>
        </w:numPr>
        <w:autoSpaceDE w:val="0"/>
        <w:autoSpaceDN w:val="0"/>
        <w:adjustRightInd w:val="0"/>
        <w:spacing w:after="0" w:line="360" w:lineRule="auto"/>
        <w:ind w:left="1276" w:hanging="425"/>
        <w:rPr>
          <w:rFonts w:cstheme="minorHAnsi"/>
          <w:sz w:val="24"/>
          <w:szCs w:val="24"/>
          <w:lang w:eastAsia="pl-PL"/>
        </w:rPr>
      </w:pPr>
      <w:r w:rsidRPr="00771E87">
        <w:rPr>
          <w:rFonts w:cstheme="minorHAnsi"/>
          <w:sz w:val="24"/>
          <w:szCs w:val="24"/>
          <w:lang w:eastAsia="pl-PL"/>
        </w:rPr>
        <w:t>w przypadku środka trwałego/wartości niematerialnych i prawnych:</w:t>
      </w:r>
    </w:p>
    <w:p w14:paraId="405B10BE" w14:textId="77777777" w:rsidR="00FF6546" w:rsidRPr="00771E87" w:rsidRDefault="00FF6546" w:rsidP="00B25D62">
      <w:pPr>
        <w:pStyle w:val="Akapitzlist"/>
        <w:numPr>
          <w:ilvl w:val="0"/>
          <w:numId w:val="20"/>
        </w:numPr>
        <w:autoSpaceDE w:val="0"/>
        <w:autoSpaceDN w:val="0"/>
        <w:adjustRightInd w:val="0"/>
        <w:spacing w:after="0" w:line="360" w:lineRule="auto"/>
        <w:ind w:left="1843"/>
        <w:rPr>
          <w:rFonts w:cstheme="minorHAnsi"/>
          <w:sz w:val="24"/>
          <w:szCs w:val="24"/>
          <w:lang w:eastAsia="pl-PL"/>
        </w:rPr>
      </w:pPr>
      <w:r w:rsidRPr="00771E87">
        <w:rPr>
          <w:rFonts w:cstheme="minorHAnsi"/>
          <w:sz w:val="24"/>
          <w:szCs w:val="24"/>
          <w:lang w:eastAsia="pl-PL"/>
        </w:rPr>
        <w:t>potwierdzenie wpisania środka trwałego/wartości niematerialnych i prawnych do właściwej ewidencji,</w:t>
      </w:r>
    </w:p>
    <w:p w14:paraId="009E2304" w14:textId="77777777" w:rsidR="00FF6546" w:rsidRPr="00771E87" w:rsidRDefault="00FF6546" w:rsidP="00B25D62">
      <w:pPr>
        <w:pStyle w:val="Akapitzlist"/>
        <w:numPr>
          <w:ilvl w:val="0"/>
          <w:numId w:val="20"/>
        </w:numPr>
        <w:autoSpaceDE w:val="0"/>
        <w:autoSpaceDN w:val="0"/>
        <w:adjustRightInd w:val="0"/>
        <w:spacing w:after="0" w:line="360" w:lineRule="auto"/>
        <w:ind w:left="1843"/>
        <w:rPr>
          <w:rFonts w:cstheme="minorHAnsi"/>
          <w:sz w:val="24"/>
          <w:szCs w:val="24"/>
          <w:lang w:eastAsia="pl-PL"/>
        </w:rPr>
      </w:pPr>
      <w:r w:rsidRPr="00771E87">
        <w:rPr>
          <w:rFonts w:cstheme="minorHAnsi"/>
          <w:sz w:val="24"/>
          <w:szCs w:val="24"/>
          <w:lang w:eastAsia="pl-PL"/>
        </w:rPr>
        <w:t>plan amortyzacji środka trwałego/wartości niematerialnych i prawnych,</w:t>
      </w:r>
    </w:p>
    <w:p w14:paraId="20178032" w14:textId="32DC9F6C" w:rsidR="00C87735" w:rsidRPr="00771E87" w:rsidRDefault="7C1CBDE9" w:rsidP="00451844">
      <w:pPr>
        <w:numPr>
          <w:ilvl w:val="1"/>
          <w:numId w:val="19"/>
        </w:numPr>
        <w:tabs>
          <w:tab w:val="clear" w:pos="1440"/>
          <w:tab w:val="num" w:pos="851"/>
        </w:tabs>
        <w:autoSpaceDE w:val="0"/>
        <w:autoSpaceDN w:val="0"/>
        <w:adjustRightInd w:val="0"/>
        <w:spacing w:after="0" w:line="360" w:lineRule="auto"/>
        <w:ind w:left="851" w:hanging="425"/>
        <w:contextualSpacing/>
        <w:rPr>
          <w:rFonts w:cstheme="minorHAnsi"/>
          <w:sz w:val="24"/>
          <w:szCs w:val="24"/>
          <w:lang w:eastAsia="pl-PL"/>
        </w:rPr>
      </w:pPr>
      <w:r w:rsidRPr="00771E87">
        <w:rPr>
          <w:rFonts w:cstheme="minorHAnsi"/>
          <w:sz w:val="24"/>
          <w:szCs w:val="24"/>
          <w:lang w:eastAsia="pl-PL"/>
        </w:rPr>
        <w:t>dokumentów potwierdzających realizację:</w:t>
      </w:r>
    </w:p>
    <w:p w14:paraId="23F4D53B" w14:textId="147F7D67" w:rsidR="00C87735" w:rsidRPr="00771E87" w:rsidRDefault="7C1CBDE9" w:rsidP="00341DFE">
      <w:pPr>
        <w:pStyle w:val="Akapitzlist"/>
        <w:numPr>
          <w:ilvl w:val="0"/>
          <w:numId w:val="105"/>
        </w:numPr>
        <w:autoSpaceDE w:val="0"/>
        <w:autoSpaceDN w:val="0"/>
        <w:adjustRightInd w:val="0"/>
        <w:spacing w:after="0" w:line="360" w:lineRule="auto"/>
        <w:ind w:left="1276"/>
        <w:rPr>
          <w:rFonts w:cstheme="minorHAnsi"/>
          <w:sz w:val="24"/>
          <w:szCs w:val="24"/>
          <w:lang w:eastAsia="pl-PL"/>
        </w:rPr>
      </w:pPr>
      <w:r w:rsidRPr="00771E87">
        <w:rPr>
          <w:rFonts w:cstheme="minorHAnsi"/>
          <w:sz w:val="24"/>
          <w:szCs w:val="24"/>
          <w:lang w:eastAsia="pl-PL"/>
        </w:rPr>
        <w:t>robót budowlanych, w tym budowy nowych linii produkcyjnych</w:t>
      </w:r>
      <w:r w:rsidR="4943D19A" w:rsidRPr="00771E87">
        <w:rPr>
          <w:rFonts w:cstheme="minorHAnsi"/>
          <w:sz w:val="24"/>
          <w:szCs w:val="24"/>
          <w:lang w:eastAsia="pl-PL"/>
        </w:rPr>
        <w:t xml:space="preserve">: </w:t>
      </w:r>
      <w:r w:rsidR="4943D19A" w:rsidRPr="00771E87">
        <w:rPr>
          <w:rFonts w:eastAsia="Calibri" w:cstheme="minorHAnsi"/>
          <w:sz w:val="24"/>
          <w:szCs w:val="24"/>
        </w:rPr>
        <w:t>świadectwa ukończenia wystawione zgodnie z przepisami krajowymi</w:t>
      </w:r>
      <w:r w:rsidR="6DE2AEBD" w:rsidRPr="00771E87">
        <w:rPr>
          <w:rFonts w:eastAsia="Calibri" w:cstheme="minorHAnsi"/>
          <w:sz w:val="24"/>
          <w:szCs w:val="24"/>
        </w:rPr>
        <w:t>,</w:t>
      </w:r>
      <w:r w:rsidR="4943D19A" w:rsidRPr="00771E87">
        <w:rPr>
          <w:rFonts w:cstheme="minorHAnsi"/>
          <w:sz w:val="24"/>
          <w:szCs w:val="24"/>
          <w:lang w:eastAsia="pl-PL"/>
        </w:rPr>
        <w:t xml:space="preserve"> </w:t>
      </w:r>
      <w:r w:rsidRPr="00771E87">
        <w:rPr>
          <w:rFonts w:cstheme="minorHAnsi"/>
          <w:sz w:val="24"/>
          <w:szCs w:val="24"/>
          <w:lang w:eastAsia="pl-PL"/>
        </w:rPr>
        <w:t xml:space="preserve"> </w:t>
      </w:r>
    </w:p>
    <w:p w14:paraId="10A0BD4F" w14:textId="0B63B453" w:rsidR="00C87735" w:rsidRPr="00771E87" w:rsidRDefault="7C1CBDE9" w:rsidP="00341DFE">
      <w:pPr>
        <w:pStyle w:val="Akapitzlist"/>
        <w:numPr>
          <w:ilvl w:val="0"/>
          <w:numId w:val="105"/>
        </w:numPr>
        <w:autoSpaceDE w:val="0"/>
        <w:autoSpaceDN w:val="0"/>
        <w:adjustRightInd w:val="0"/>
        <w:spacing w:after="0" w:line="360" w:lineRule="auto"/>
        <w:ind w:left="1276"/>
        <w:rPr>
          <w:rFonts w:cstheme="minorHAnsi"/>
          <w:sz w:val="24"/>
          <w:szCs w:val="24"/>
          <w:lang w:eastAsia="pl-PL"/>
        </w:rPr>
      </w:pPr>
      <w:r w:rsidRPr="00771E87">
        <w:rPr>
          <w:rFonts w:cstheme="minorHAnsi"/>
          <w:sz w:val="24"/>
          <w:szCs w:val="24"/>
          <w:lang w:eastAsia="pl-PL"/>
        </w:rPr>
        <w:t>inwestycji związanych z zieloną transformacją</w:t>
      </w:r>
      <w:r w:rsidR="2B8F2037" w:rsidRPr="00771E87">
        <w:rPr>
          <w:rFonts w:cstheme="minorHAnsi"/>
          <w:sz w:val="24"/>
          <w:szCs w:val="24"/>
          <w:lang w:eastAsia="pl-PL"/>
        </w:rPr>
        <w:t>:</w:t>
      </w:r>
      <w:r w:rsidRPr="00771E87">
        <w:rPr>
          <w:rFonts w:cstheme="minorHAnsi"/>
          <w:sz w:val="24"/>
          <w:szCs w:val="24"/>
          <w:lang w:eastAsia="pl-PL"/>
        </w:rPr>
        <w:t xml:space="preserve"> świadectwa ukończenia wystawione zgodnie z przepisami krajowymi</w:t>
      </w:r>
      <w:r w:rsidR="247A6463" w:rsidRPr="00771E87">
        <w:rPr>
          <w:rFonts w:cstheme="minorHAnsi"/>
          <w:sz w:val="24"/>
          <w:szCs w:val="24"/>
          <w:lang w:eastAsia="pl-PL"/>
        </w:rPr>
        <w:t>,</w:t>
      </w:r>
    </w:p>
    <w:p w14:paraId="409DC1C0" w14:textId="568CECF7" w:rsidR="00C87735" w:rsidRPr="00771E87" w:rsidRDefault="7C1CBDE9" w:rsidP="00341DFE">
      <w:pPr>
        <w:pStyle w:val="Akapitzlist"/>
        <w:numPr>
          <w:ilvl w:val="0"/>
          <w:numId w:val="105"/>
        </w:numPr>
        <w:autoSpaceDE w:val="0"/>
        <w:autoSpaceDN w:val="0"/>
        <w:adjustRightInd w:val="0"/>
        <w:spacing w:after="0" w:line="360" w:lineRule="auto"/>
        <w:ind w:left="1276"/>
        <w:rPr>
          <w:rFonts w:cstheme="minorHAnsi"/>
          <w:sz w:val="24"/>
          <w:szCs w:val="24"/>
          <w:lang w:eastAsia="pl-PL"/>
        </w:rPr>
      </w:pPr>
      <w:r w:rsidRPr="00771E87">
        <w:rPr>
          <w:rFonts w:cstheme="minorHAnsi"/>
          <w:sz w:val="24"/>
          <w:szCs w:val="24"/>
          <w:lang w:eastAsia="pl-PL"/>
        </w:rPr>
        <w:t>inwestycji w zakup maszyn i urządzeń</w:t>
      </w:r>
      <w:r w:rsidR="3FE2140A" w:rsidRPr="00771E87">
        <w:rPr>
          <w:rFonts w:cstheme="minorHAnsi"/>
          <w:sz w:val="24"/>
          <w:szCs w:val="24"/>
          <w:lang w:eastAsia="pl-PL"/>
        </w:rPr>
        <w:t>:</w:t>
      </w:r>
      <w:r w:rsidR="529C448B" w:rsidRPr="00771E87">
        <w:rPr>
          <w:rFonts w:cstheme="minorHAnsi"/>
          <w:sz w:val="24"/>
          <w:szCs w:val="24"/>
          <w:lang w:eastAsia="pl-PL"/>
        </w:rPr>
        <w:t xml:space="preserve"> </w:t>
      </w:r>
      <w:r w:rsidRPr="00771E87">
        <w:rPr>
          <w:rFonts w:cstheme="minorHAnsi"/>
          <w:sz w:val="24"/>
          <w:szCs w:val="24"/>
          <w:lang w:eastAsia="pl-PL"/>
        </w:rPr>
        <w:t xml:space="preserve">umowy kupna podpisane przez </w:t>
      </w:r>
      <w:r w:rsidR="00F00B76">
        <w:rPr>
          <w:rFonts w:cstheme="minorHAnsi"/>
          <w:sz w:val="24"/>
          <w:szCs w:val="24"/>
          <w:lang w:eastAsia="pl-PL"/>
        </w:rPr>
        <w:t>p</w:t>
      </w:r>
      <w:r w:rsidRPr="00771E87">
        <w:rPr>
          <w:rFonts w:cstheme="minorHAnsi"/>
          <w:sz w:val="24"/>
          <w:szCs w:val="24"/>
          <w:lang w:eastAsia="pl-PL"/>
        </w:rPr>
        <w:t>rzedsiębiorcę</w:t>
      </w:r>
      <w:r w:rsidR="00C133CD" w:rsidRPr="00771E87">
        <w:rPr>
          <w:rFonts w:cstheme="minorHAnsi"/>
          <w:sz w:val="24"/>
          <w:szCs w:val="24"/>
          <w:lang w:eastAsia="pl-PL"/>
        </w:rPr>
        <w:t xml:space="preserve"> </w:t>
      </w:r>
      <w:r w:rsidRPr="00771E87">
        <w:rPr>
          <w:rFonts w:cstheme="minorHAnsi"/>
          <w:sz w:val="24"/>
          <w:szCs w:val="24"/>
          <w:lang w:eastAsia="pl-PL"/>
        </w:rPr>
        <w:t>i sprzedawcę lub dokumenty o równoważnej wartości dowodowej</w:t>
      </w:r>
      <w:r w:rsidR="24F3B5D5" w:rsidRPr="00771E87">
        <w:rPr>
          <w:rFonts w:cstheme="minorHAnsi"/>
          <w:sz w:val="24"/>
          <w:szCs w:val="24"/>
          <w:lang w:eastAsia="pl-PL"/>
        </w:rPr>
        <w:t>,</w:t>
      </w:r>
    </w:p>
    <w:p w14:paraId="7F1EB671" w14:textId="7B2F64C1" w:rsidR="00C87735" w:rsidRPr="00771E87" w:rsidRDefault="3DAE6DCE" w:rsidP="00341DFE">
      <w:pPr>
        <w:pStyle w:val="Akapitzlist"/>
        <w:numPr>
          <w:ilvl w:val="0"/>
          <w:numId w:val="105"/>
        </w:numPr>
        <w:autoSpaceDE w:val="0"/>
        <w:autoSpaceDN w:val="0"/>
        <w:adjustRightInd w:val="0"/>
        <w:spacing w:after="0" w:line="360" w:lineRule="auto"/>
        <w:ind w:left="1276"/>
        <w:rPr>
          <w:rFonts w:cstheme="minorHAnsi"/>
          <w:sz w:val="24"/>
          <w:szCs w:val="24"/>
          <w:lang w:eastAsia="pl-PL"/>
        </w:rPr>
      </w:pPr>
      <w:r w:rsidRPr="302726D1">
        <w:rPr>
          <w:sz w:val="24"/>
          <w:szCs w:val="24"/>
          <w:lang w:eastAsia="pl-PL"/>
        </w:rPr>
        <w:t>usług doradczych</w:t>
      </w:r>
      <w:r w:rsidR="14C08651" w:rsidRPr="302726D1">
        <w:rPr>
          <w:sz w:val="24"/>
          <w:szCs w:val="24"/>
          <w:lang w:eastAsia="pl-PL"/>
        </w:rPr>
        <w:t>:</w:t>
      </w:r>
      <w:r w:rsidRPr="302726D1">
        <w:rPr>
          <w:sz w:val="24"/>
          <w:szCs w:val="24"/>
          <w:lang w:eastAsia="pl-PL"/>
        </w:rPr>
        <w:t xml:space="preserve"> raport</w:t>
      </w:r>
      <w:r w:rsidR="4E930C4E" w:rsidRPr="302726D1">
        <w:rPr>
          <w:sz w:val="24"/>
          <w:szCs w:val="24"/>
          <w:lang w:eastAsia="pl-PL"/>
        </w:rPr>
        <w:t>y</w:t>
      </w:r>
      <w:r w:rsidRPr="302726D1">
        <w:rPr>
          <w:sz w:val="24"/>
          <w:szCs w:val="24"/>
          <w:lang w:eastAsia="pl-PL"/>
        </w:rPr>
        <w:t xml:space="preserve"> końcow</w:t>
      </w:r>
      <w:r w:rsidR="159E06CB" w:rsidRPr="302726D1">
        <w:rPr>
          <w:sz w:val="24"/>
          <w:szCs w:val="24"/>
          <w:lang w:eastAsia="pl-PL"/>
        </w:rPr>
        <w:t>e</w:t>
      </w:r>
      <w:r w:rsidRPr="302726D1">
        <w:rPr>
          <w:sz w:val="24"/>
          <w:szCs w:val="24"/>
          <w:lang w:eastAsia="pl-PL"/>
        </w:rPr>
        <w:t xml:space="preserve"> wykonan</w:t>
      </w:r>
      <w:r w:rsidR="39B5999D" w:rsidRPr="302726D1">
        <w:rPr>
          <w:sz w:val="24"/>
          <w:szCs w:val="24"/>
          <w:lang w:eastAsia="pl-PL"/>
        </w:rPr>
        <w:t>e</w:t>
      </w:r>
      <w:r w:rsidRPr="302726D1">
        <w:rPr>
          <w:sz w:val="24"/>
          <w:szCs w:val="24"/>
          <w:lang w:eastAsia="pl-PL"/>
        </w:rPr>
        <w:t xml:space="preserve"> przez wykonawcę usług doradczych</w:t>
      </w:r>
      <w:r w:rsidR="00C87735" w:rsidRPr="302726D1">
        <w:rPr>
          <w:rStyle w:val="Odwoanieprzypisudolnego"/>
          <w:sz w:val="24"/>
          <w:szCs w:val="24"/>
          <w:lang w:eastAsia="pl-PL"/>
        </w:rPr>
        <w:footnoteReference w:id="8"/>
      </w:r>
      <w:r w:rsidR="61839250" w:rsidRPr="302726D1">
        <w:rPr>
          <w:sz w:val="24"/>
          <w:szCs w:val="24"/>
          <w:lang w:eastAsia="pl-PL"/>
        </w:rPr>
        <w:t>,</w:t>
      </w:r>
    </w:p>
    <w:p w14:paraId="584A0922" w14:textId="46DF49AC" w:rsidR="00C87735" w:rsidRPr="00771E87" w:rsidRDefault="3DAE6DCE" w:rsidP="00341DFE">
      <w:pPr>
        <w:pStyle w:val="Akapitzlist"/>
        <w:numPr>
          <w:ilvl w:val="0"/>
          <w:numId w:val="105"/>
        </w:numPr>
        <w:autoSpaceDE w:val="0"/>
        <w:autoSpaceDN w:val="0"/>
        <w:adjustRightInd w:val="0"/>
        <w:spacing w:after="0" w:line="360" w:lineRule="auto"/>
        <w:ind w:left="1276"/>
        <w:rPr>
          <w:rFonts w:cstheme="minorHAnsi"/>
          <w:sz w:val="24"/>
          <w:szCs w:val="24"/>
          <w:lang w:eastAsia="pl-PL"/>
        </w:rPr>
      </w:pPr>
      <w:r w:rsidRPr="302726D1">
        <w:rPr>
          <w:sz w:val="24"/>
          <w:szCs w:val="24"/>
          <w:lang w:eastAsia="pl-PL"/>
        </w:rPr>
        <w:t>programów szkoleniowych</w:t>
      </w:r>
      <w:r w:rsidR="082C43E9" w:rsidRPr="302726D1">
        <w:rPr>
          <w:sz w:val="24"/>
          <w:szCs w:val="24"/>
          <w:lang w:eastAsia="pl-PL"/>
        </w:rPr>
        <w:t>:</w:t>
      </w:r>
      <w:r w:rsidRPr="302726D1">
        <w:rPr>
          <w:sz w:val="24"/>
          <w:szCs w:val="24"/>
          <w:lang w:eastAsia="pl-PL"/>
        </w:rPr>
        <w:t xml:space="preserve"> zaświadcze</w:t>
      </w:r>
      <w:r w:rsidR="6AC6E5E5" w:rsidRPr="302726D1">
        <w:rPr>
          <w:sz w:val="24"/>
          <w:szCs w:val="24"/>
          <w:lang w:eastAsia="pl-PL"/>
        </w:rPr>
        <w:t>nia</w:t>
      </w:r>
      <w:r w:rsidRPr="302726D1">
        <w:rPr>
          <w:sz w:val="24"/>
          <w:szCs w:val="24"/>
          <w:lang w:eastAsia="pl-PL"/>
        </w:rPr>
        <w:t xml:space="preserve"> o szkoleniu lub sprawozda</w:t>
      </w:r>
      <w:r w:rsidR="3F8D1053" w:rsidRPr="302726D1">
        <w:rPr>
          <w:sz w:val="24"/>
          <w:szCs w:val="24"/>
          <w:lang w:eastAsia="pl-PL"/>
        </w:rPr>
        <w:t>nia</w:t>
      </w:r>
      <w:r w:rsidRPr="302726D1">
        <w:rPr>
          <w:sz w:val="24"/>
          <w:szCs w:val="24"/>
          <w:lang w:eastAsia="pl-PL"/>
        </w:rPr>
        <w:t xml:space="preserve"> końcow</w:t>
      </w:r>
      <w:r w:rsidR="0B9DBFE7" w:rsidRPr="302726D1">
        <w:rPr>
          <w:sz w:val="24"/>
          <w:szCs w:val="24"/>
          <w:lang w:eastAsia="pl-PL"/>
        </w:rPr>
        <w:t>e</w:t>
      </w:r>
      <w:r w:rsidRPr="302726D1">
        <w:rPr>
          <w:sz w:val="24"/>
          <w:szCs w:val="24"/>
          <w:lang w:eastAsia="pl-PL"/>
        </w:rPr>
        <w:t xml:space="preserve"> wykonawcy z wykonanych usług szkoleniowych oraz szczegółowy program szkolenia</w:t>
      </w:r>
      <w:r w:rsidR="00C87735" w:rsidRPr="302726D1">
        <w:rPr>
          <w:rStyle w:val="Odwoanieprzypisudolnego"/>
          <w:sz w:val="24"/>
          <w:szCs w:val="24"/>
          <w:lang w:eastAsia="pl-PL"/>
        </w:rPr>
        <w:footnoteReference w:id="9"/>
      </w:r>
      <w:r w:rsidR="7D118C2E" w:rsidRPr="302726D1">
        <w:rPr>
          <w:sz w:val="24"/>
          <w:szCs w:val="24"/>
          <w:lang w:eastAsia="pl-PL"/>
        </w:rPr>
        <w:t>,</w:t>
      </w:r>
    </w:p>
    <w:p w14:paraId="3C8F4168" w14:textId="763FDB17" w:rsidR="27E3ADDB" w:rsidRPr="00771E87" w:rsidRDefault="0825E8EB" w:rsidP="00341DFE">
      <w:pPr>
        <w:pStyle w:val="Akapitzlist"/>
        <w:numPr>
          <w:ilvl w:val="0"/>
          <w:numId w:val="105"/>
        </w:numPr>
        <w:spacing w:after="0" w:line="360" w:lineRule="auto"/>
        <w:ind w:left="1276"/>
        <w:rPr>
          <w:rFonts w:cstheme="minorHAnsi"/>
          <w:sz w:val="24"/>
          <w:szCs w:val="24"/>
          <w:lang w:eastAsia="pl-PL"/>
        </w:rPr>
      </w:pPr>
      <w:r w:rsidRPr="00771E87">
        <w:rPr>
          <w:rFonts w:cstheme="minorHAnsi"/>
          <w:sz w:val="24"/>
          <w:szCs w:val="24"/>
          <w:lang w:eastAsia="pl-PL"/>
        </w:rPr>
        <w:t xml:space="preserve">inwestycji związanych z transformacją cyfrową: </w:t>
      </w:r>
      <w:r w:rsidR="1FE8DEF7" w:rsidRPr="00771E87">
        <w:rPr>
          <w:rFonts w:cstheme="minorHAnsi"/>
          <w:sz w:val="24"/>
          <w:szCs w:val="24"/>
          <w:lang w:eastAsia="pl-PL"/>
        </w:rPr>
        <w:t xml:space="preserve">umowy kupna/wykonania usługi podpisane przez </w:t>
      </w:r>
      <w:r w:rsidR="00F00B76">
        <w:rPr>
          <w:rFonts w:cstheme="minorHAnsi"/>
          <w:sz w:val="24"/>
          <w:szCs w:val="24"/>
          <w:lang w:eastAsia="pl-PL"/>
        </w:rPr>
        <w:t>p</w:t>
      </w:r>
      <w:r w:rsidR="1FE8DEF7" w:rsidRPr="00771E87">
        <w:rPr>
          <w:rFonts w:cstheme="minorHAnsi"/>
          <w:sz w:val="24"/>
          <w:szCs w:val="24"/>
          <w:lang w:eastAsia="pl-PL"/>
        </w:rPr>
        <w:t>rzedsiębiorcę i sprzedawcę/wykonawcę usługi lub dokumenty</w:t>
      </w:r>
      <w:r w:rsidR="00C133CD" w:rsidRPr="00771E87">
        <w:rPr>
          <w:rFonts w:cstheme="minorHAnsi"/>
          <w:sz w:val="24"/>
          <w:szCs w:val="24"/>
          <w:lang w:eastAsia="pl-PL"/>
        </w:rPr>
        <w:t xml:space="preserve"> </w:t>
      </w:r>
      <w:r w:rsidR="1FE8DEF7" w:rsidRPr="00771E87">
        <w:rPr>
          <w:rFonts w:cstheme="minorHAnsi"/>
          <w:sz w:val="24"/>
          <w:szCs w:val="24"/>
          <w:lang w:eastAsia="pl-PL"/>
        </w:rPr>
        <w:t>o</w:t>
      </w:r>
      <w:r w:rsidR="00F00B76">
        <w:rPr>
          <w:rFonts w:cstheme="minorHAnsi"/>
          <w:sz w:val="24"/>
          <w:szCs w:val="24"/>
          <w:lang w:eastAsia="pl-PL"/>
        </w:rPr>
        <w:t> </w:t>
      </w:r>
      <w:r w:rsidR="1FE8DEF7" w:rsidRPr="00771E87">
        <w:rPr>
          <w:rFonts w:cstheme="minorHAnsi"/>
          <w:sz w:val="24"/>
          <w:szCs w:val="24"/>
          <w:lang w:eastAsia="pl-PL"/>
        </w:rPr>
        <w:t xml:space="preserve">równoważnej wartości dowodowej, </w:t>
      </w:r>
      <w:r w:rsidRPr="00771E87">
        <w:rPr>
          <w:rFonts w:cstheme="minorHAnsi"/>
          <w:sz w:val="24"/>
          <w:szCs w:val="24"/>
          <w:lang w:eastAsia="pl-PL"/>
        </w:rPr>
        <w:t>raporty końcowe wykonawcy usługi</w:t>
      </w:r>
      <w:r w:rsidR="752D3CAC" w:rsidRPr="00771E87">
        <w:rPr>
          <w:rFonts w:cstheme="minorHAnsi"/>
          <w:sz w:val="24"/>
          <w:szCs w:val="24"/>
          <w:lang w:eastAsia="pl-PL"/>
        </w:rPr>
        <w:t>,</w:t>
      </w:r>
    </w:p>
    <w:p w14:paraId="0AC271EB" w14:textId="128033D8" w:rsidR="005179EB" w:rsidRPr="00771E87" w:rsidRDefault="51822F2B" w:rsidP="0052493A">
      <w:pPr>
        <w:pStyle w:val="Akapitzlist"/>
        <w:numPr>
          <w:ilvl w:val="1"/>
          <w:numId w:val="19"/>
        </w:numPr>
        <w:tabs>
          <w:tab w:val="clear" w:pos="1440"/>
          <w:tab w:val="num" w:pos="851"/>
        </w:tabs>
        <w:autoSpaceDE w:val="0"/>
        <w:autoSpaceDN w:val="0"/>
        <w:adjustRightInd w:val="0"/>
        <w:spacing w:after="480" w:line="360" w:lineRule="auto"/>
        <w:ind w:left="850" w:hanging="425"/>
        <w:rPr>
          <w:rFonts w:cstheme="minorHAnsi"/>
          <w:sz w:val="24"/>
          <w:szCs w:val="24"/>
          <w:lang w:eastAsia="pl-PL"/>
        </w:rPr>
      </w:pPr>
      <w:r w:rsidRPr="00771E87">
        <w:rPr>
          <w:rFonts w:cstheme="minorHAnsi"/>
          <w:sz w:val="24"/>
          <w:szCs w:val="24"/>
          <w:lang w:eastAsia="pl-PL"/>
        </w:rPr>
        <w:t>dokumentów potwierdzających osiąganie wskaźników</w:t>
      </w:r>
      <w:r w:rsidR="4E57FE19" w:rsidRPr="00771E87">
        <w:rPr>
          <w:rFonts w:cstheme="minorHAnsi"/>
          <w:sz w:val="24"/>
          <w:szCs w:val="24"/>
          <w:lang w:eastAsia="pl-PL"/>
        </w:rPr>
        <w:t xml:space="preserve"> przedsięwzięcia MŚP</w:t>
      </w:r>
      <w:r w:rsidR="2ECA451C" w:rsidRPr="00771E87">
        <w:rPr>
          <w:rFonts w:cstheme="minorHAnsi"/>
          <w:sz w:val="24"/>
          <w:szCs w:val="24"/>
          <w:lang w:eastAsia="pl-PL"/>
        </w:rPr>
        <w:t>.</w:t>
      </w:r>
    </w:p>
    <w:p w14:paraId="1F46C3E7" w14:textId="1C5CB9EB" w:rsidR="00B43B8D" w:rsidRPr="00771E87" w:rsidRDefault="00B43B8D" w:rsidP="0052493A">
      <w:pPr>
        <w:pStyle w:val="NCBR2Nagowek"/>
        <w:spacing w:after="360"/>
        <w:rPr>
          <w:rFonts w:asciiTheme="minorHAnsi" w:hAnsiTheme="minorHAnsi" w:cstheme="minorHAnsi"/>
          <w:szCs w:val="28"/>
        </w:rPr>
      </w:pPr>
      <w:bookmarkStart w:id="112" w:name="_Toc162526832"/>
      <w:r w:rsidRPr="00771E87">
        <w:rPr>
          <w:rFonts w:asciiTheme="minorHAnsi" w:hAnsiTheme="minorHAnsi" w:cstheme="minorHAnsi"/>
          <w:szCs w:val="28"/>
        </w:rPr>
        <w:t xml:space="preserve">7.1. </w:t>
      </w:r>
      <w:r w:rsidR="002546DB" w:rsidRPr="00771E87">
        <w:rPr>
          <w:rFonts w:asciiTheme="minorHAnsi" w:hAnsiTheme="minorHAnsi" w:cstheme="minorHAnsi"/>
          <w:szCs w:val="28"/>
        </w:rPr>
        <w:t>O</w:t>
      </w:r>
      <w:r w:rsidRPr="00771E87">
        <w:rPr>
          <w:rFonts w:asciiTheme="minorHAnsi" w:hAnsiTheme="minorHAnsi" w:cstheme="minorHAnsi"/>
          <w:szCs w:val="28"/>
        </w:rPr>
        <w:t>pis dokumentu</w:t>
      </w:r>
      <w:bookmarkEnd w:id="112"/>
    </w:p>
    <w:p w14:paraId="25834450" w14:textId="25A27342" w:rsidR="00335087" w:rsidRPr="00771E87" w:rsidRDefault="40E29669" w:rsidP="00335087">
      <w:pPr>
        <w:shd w:val="clear" w:color="auto" w:fill="FFFFFF" w:themeFill="background1"/>
        <w:autoSpaceDE w:val="0"/>
        <w:autoSpaceDN w:val="0"/>
        <w:adjustRightInd w:val="0"/>
        <w:spacing w:after="0" w:line="360" w:lineRule="auto"/>
        <w:rPr>
          <w:rFonts w:cstheme="minorHAnsi"/>
          <w:sz w:val="24"/>
          <w:szCs w:val="24"/>
        </w:rPr>
      </w:pPr>
      <w:r w:rsidRPr="00771E87">
        <w:rPr>
          <w:rFonts w:cstheme="minorHAnsi"/>
          <w:sz w:val="24"/>
          <w:szCs w:val="24"/>
        </w:rPr>
        <w:t>MŚP zobowiązuje się do prowadzenia odrębnej ewidencji księgowej lub wprowadzenia odpowiedniego kodu księgowego dla operacji gospodarczych związanych z realizację projektu tak, aby możliw</w:t>
      </w:r>
      <w:r w:rsidR="1BB7A24E" w:rsidRPr="00771E87">
        <w:rPr>
          <w:rFonts w:cstheme="minorHAnsi"/>
          <w:sz w:val="24"/>
          <w:szCs w:val="24"/>
        </w:rPr>
        <w:t>a</w:t>
      </w:r>
      <w:r w:rsidRPr="00771E87">
        <w:rPr>
          <w:rFonts w:cstheme="minorHAnsi"/>
          <w:sz w:val="24"/>
          <w:szCs w:val="24"/>
        </w:rPr>
        <w:t xml:space="preserve"> była pełna identyfikacja wszelkich operacji związanych z p</w:t>
      </w:r>
      <w:r w:rsidR="4D13ADB9" w:rsidRPr="00771E87">
        <w:rPr>
          <w:rFonts w:cstheme="minorHAnsi"/>
          <w:sz w:val="24"/>
          <w:szCs w:val="24"/>
        </w:rPr>
        <w:t>rzedsięwzięciem MŚP</w:t>
      </w:r>
      <w:r w:rsidRPr="00771E87">
        <w:rPr>
          <w:rFonts w:cstheme="minorHAnsi"/>
          <w:sz w:val="24"/>
          <w:szCs w:val="24"/>
        </w:rPr>
        <w:t xml:space="preserve">, w </w:t>
      </w:r>
      <w:r w:rsidR="0052493A" w:rsidRPr="00771E87">
        <w:rPr>
          <w:rFonts w:cstheme="minorHAnsi"/>
          <w:sz w:val="24"/>
          <w:szCs w:val="24"/>
        </w:rPr>
        <w:t> </w:t>
      </w:r>
      <w:r w:rsidRPr="00771E87">
        <w:rPr>
          <w:rFonts w:cstheme="minorHAnsi"/>
          <w:sz w:val="24"/>
          <w:szCs w:val="24"/>
        </w:rPr>
        <w:t xml:space="preserve">tym operacji bankowych, z zastrzeżeniem krajowych przepisów o rachunkowości. </w:t>
      </w:r>
    </w:p>
    <w:p w14:paraId="265ECAC6" w14:textId="26A7BB49" w:rsidR="00E231F3" w:rsidRPr="00771E87" w:rsidRDefault="00E231F3" w:rsidP="00C36B3E">
      <w:pPr>
        <w:shd w:val="clear" w:color="auto" w:fill="FFFFFF" w:themeFill="background1"/>
        <w:autoSpaceDE w:val="0"/>
        <w:autoSpaceDN w:val="0"/>
        <w:adjustRightInd w:val="0"/>
        <w:spacing w:after="0" w:line="360" w:lineRule="auto"/>
        <w:rPr>
          <w:rFonts w:cstheme="minorHAnsi"/>
          <w:sz w:val="24"/>
          <w:szCs w:val="24"/>
        </w:rPr>
      </w:pPr>
      <w:r w:rsidRPr="00771E87">
        <w:rPr>
          <w:rFonts w:cstheme="minorHAnsi"/>
          <w:sz w:val="24"/>
          <w:szCs w:val="24"/>
        </w:rPr>
        <w:t>Każda faktura, rachunek, czy inny dokument będący podstawą dokonywania wydatków musi być odpowiednio opisany. Opis ten jest niezbędny do odpowiedniego ujęcia danego wydatku</w:t>
      </w:r>
      <w:r w:rsidR="00C133CD" w:rsidRPr="00771E87">
        <w:rPr>
          <w:rFonts w:cstheme="minorHAnsi"/>
          <w:sz w:val="24"/>
          <w:szCs w:val="24"/>
        </w:rPr>
        <w:t xml:space="preserve"> </w:t>
      </w:r>
      <w:r w:rsidRPr="00771E87">
        <w:rPr>
          <w:rFonts w:cstheme="minorHAnsi"/>
          <w:sz w:val="24"/>
          <w:szCs w:val="24"/>
        </w:rPr>
        <w:lastRenderedPageBreak/>
        <w:t>w</w:t>
      </w:r>
      <w:r w:rsidR="0052493A" w:rsidRPr="00771E87">
        <w:rPr>
          <w:rFonts w:cstheme="minorHAnsi"/>
          <w:sz w:val="24"/>
          <w:szCs w:val="24"/>
        </w:rPr>
        <w:t> </w:t>
      </w:r>
      <w:r w:rsidRPr="00771E87">
        <w:rPr>
          <w:rFonts w:cstheme="minorHAnsi"/>
          <w:sz w:val="24"/>
          <w:szCs w:val="24"/>
        </w:rPr>
        <w:t xml:space="preserve">księgach rachunkowych.  Informację o współfinansowaniu wydatku ze środków Unii Europejskiej o treści „Przedsięwzięcie MŚP współfinansowane przez Unię Europejską ze środków Krajowego Planu Odbudowy i Zwiększania Odporności” należy umieścić na pierwszej stronie faktury lub </w:t>
      </w:r>
      <w:r w:rsidR="00C92093" w:rsidRPr="00771E87">
        <w:rPr>
          <w:rFonts w:cstheme="minorHAnsi"/>
          <w:sz w:val="24"/>
          <w:szCs w:val="24"/>
        </w:rPr>
        <w:t> </w:t>
      </w:r>
      <w:r w:rsidRPr="00771E87">
        <w:rPr>
          <w:rFonts w:cstheme="minorHAnsi"/>
          <w:sz w:val="24"/>
          <w:szCs w:val="24"/>
        </w:rPr>
        <w:t>dokumentu księgowego.</w:t>
      </w:r>
    </w:p>
    <w:p w14:paraId="38F0779D" w14:textId="1D169129" w:rsidR="00335087" w:rsidRPr="00771E87" w:rsidRDefault="35735975" w:rsidP="0052493A">
      <w:pPr>
        <w:spacing w:after="360" w:line="360" w:lineRule="auto"/>
        <w:rPr>
          <w:rFonts w:cstheme="minorHAnsi"/>
          <w:sz w:val="24"/>
          <w:szCs w:val="24"/>
          <w:lang w:eastAsia="pl-PL"/>
        </w:rPr>
      </w:pPr>
      <w:r w:rsidRPr="00771E87">
        <w:rPr>
          <w:rFonts w:cstheme="minorHAnsi"/>
          <w:sz w:val="24"/>
          <w:szCs w:val="24"/>
          <w:lang w:eastAsia="pl-PL"/>
        </w:rPr>
        <w:t xml:space="preserve">Każda faktura lub inny dowód księgowy o równoważnej wartości dowodowej winien być sporządzony zgodnie z ustawą o rachunkowości i zawierać opis sporządzony na odwrocie strony lub na oddzielnej kartce (wtedy opis na oddzielnej </w:t>
      </w:r>
      <w:r w:rsidR="723D6AB0" w:rsidRPr="00771E87">
        <w:rPr>
          <w:rFonts w:cstheme="minorHAnsi"/>
          <w:sz w:val="24"/>
          <w:szCs w:val="24"/>
          <w:lang w:eastAsia="pl-PL"/>
        </w:rPr>
        <w:t xml:space="preserve">kartce </w:t>
      </w:r>
      <w:r w:rsidRPr="00771E87">
        <w:rPr>
          <w:rFonts w:cstheme="minorHAnsi"/>
          <w:sz w:val="24"/>
          <w:szCs w:val="24"/>
          <w:lang w:eastAsia="pl-PL"/>
        </w:rPr>
        <w:t xml:space="preserve">powinien być nierozerwalnie </w:t>
      </w:r>
      <w:r w:rsidRPr="00771E87">
        <w:rPr>
          <w:rFonts w:eastAsiaTheme="minorEastAsia" w:cstheme="minorHAnsi"/>
          <w:sz w:val="24"/>
          <w:szCs w:val="24"/>
          <w:lang w:eastAsia="pl-PL"/>
        </w:rPr>
        <w:t>połączony z dowodem księgowy</w:t>
      </w:r>
      <w:r w:rsidRPr="00771E87">
        <w:rPr>
          <w:rFonts w:cstheme="minorHAnsi"/>
          <w:sz w:val="24"/>
          <w:szCs w:val="24"/>
          <w:lang w:eastAsia="pl-PL"/>
        </w:rPr>
        <w:t>m, a w miejscu połączenia dokumentów powinien znajdować się stempel firmowy. Zarówno opis, jak i stempel (pieczątka) powinny znajdować się na oryginale dokumentu księgowego). Opis powinien przyjąć formę tabeli</w:t>
      </w:r>
      <w:r w:rsidR="1EEBF568" w:rsidRPr="00771E87">
        <w:rPr>
          <w:rFonts w:cstheme="minorHAnsi"/>
          <w:sz w:val="24"/>
          <w:szCs w:val="24"/>
          <w:lang w:eastAsia="pl-PL"/>
        </w:rPr>
        <w:t>.</w:t>
      </w:r>
    </w:p>
    <w:p w14:paraId="7AD08EA6" w14:textId="05CB8839" w:rsidR="00E231F3" w:rsidRPr="00771E87" w:rsidRDefault="10D60198" w:rsidP="0052493A">
      <w:pPr>
        <w:shd w:val="clear" w:color="auto" w:fill="FFFFFF" w:themeFill="background1"/>
        <w:autoSpaceDE w:val="0"/>
        <w:autoSpaceDN w:val="0"/>
        <w:adjustRightInd w:val="0"/>
        <w:spacing w:after="360" w:line="360" w:lineRule="auto"/>
        <w:rPr>
          <w:rFonts w:cstheme="minorHAnsi"/>
          <w:sz w:val="24"/>
          <w:szCs w:val="24"/>
        </w:rPr>
      </w:pPr>
      <w:r w:rsidRPr="00771E87">
        <w:rPr>
          <w:rFonts w:cstheme="minorHAnsi"/>
          <w:sz w:val="24"/>
          <w:szCs w:val="24"/>
        </w:rPr>
        <w:t>Wzór opisu dokumentu księgowego wraz z instrukcją jego wypełniania stanowi załącznik nr 1 do Przewodnika.</w:t>
      </w:r>
    </w:p>
    <w:p w14:paraId="65E06C70" w14:textId="30A1B04B" w:rsidR="00E231F3" w:rsidRPr="00771E87" w:rsidRDefault="35735975" w:rsidP="0052493A">
      <w:pPr>
        <w:shd w:val="clear" w:color="auto" w:fill="FFFFFF" w:themeFill="background1"/>
        <w:autoSpaceDE w:val="0"/>
        <w:autoSpaceDN w:val="0"/>
        <w:adjustRightInd w:val="0"/>
        <w:spacing w:after="480" w:line="360" w:lineRule="auto"/>
        <w:rPr>
          <w:rFonts w:cstheme="minorHAnsi"/>
          <w:sz w:val="24"/>
          <w:szCs w:val="24"/>
        </w:rPr>
      </w:pPr>
      <w:r w:rsidRPr="00771E87">
        <w:rPr>
          <w:rFonts w:cstheme="minorHAnsi"/>
          <w:sz w:val="24"/>
          <w:szCs w:val="24"/>
        </w:rPr>
        <w:t>Jeżeli dowód księgowy wystawiony jest w języku obcym i opiewa na waluty obce, należy jednocześnie załączyć wiarygodne tłumaczenie na język polski treści wskazanych w dowodzie. Analogicznie, gdy umowa między MŚP a wykonawcą/dostawcą produktów i usług zawarta jest w</w:t>
      </w:r>
      <w:r w:rsidR="0052493A" w:rsidRPr="00771E87">
        <w:rPr>
          <w:rFonts w:cstheme="minorHAnsi"/>
          <w:sz w:val="24"/>
          <w:szCs w:val="24"/>
        </w:rPr>
        <w:t> </w:t>
      </w:r>
      <w:r w:rsidRPr="00771E87">
        <w:rPr>
          <w:rFonts w:cstheme="minorHAnsi"/>
          <w:sz w:val="24"/>
          <w:szCs w:val="24"/>
        </w:rPr>
        <w:t>języku obcym, należy załączyć wiarygodne tłumaczenie na język polski ww. umowy. Powyższa zasada odnosi się również do pozostałych dokumentów załączonych do wniosku o płatność. Nie ma formalnego wymogu dokonania tłumaczenia przez tłumacza przysięgłego wpisanego na listę tłumaczy przysięgłych zgodnie z ustawą z dnia 25 listopada 2004 r. o zawodzie tłumacza przysięgłego (Dz. U. z 2019 r. poz. 1326), jednakże osoba dokonująca tłumaczenie wraz</w:t>
      </w:r>
      <w:r w:rsidR="7EE5421A" w:rsidRPr="00771E87">
        <w:rPr>
          <w:rFonts w:cstheme="minorHAnsi"/>
          <w:sz w:val="24"/>
          <w:szCs w:val="24"/>
        </w:rPr>
        <w:t xml:space="preserve"> </w:t>
      </w:r>
      <w:r w:rsidRPr="00771E87">
        <w:rPr>
          <w:rFonts w:cstheme="minorHAnsi"/>
          <w:sz w:val="24"/>
          <w:szCs w:val="24"/>
        </w:rPr>
        <w:t>z</w:t>
      </w:r>
      <w:r w:rsidR="00F00B76">
        <w:rPr>
          <w:rFonts w:cstheme="minorHAnsi"/>
          <w:sz w:val="24"/>
          <w:szCs w:val="24"/>
        </w:rPr>
        <w:t> </w:t>
      </w:r>
      <w:r w:rsidRPr="00771E87">
        <w:rPr>
          <w:rFonts w:cstheme="minorHAnsi"/>
          <w:sz w:val="24"/>
          <w:szCs w:val="24"/>
        </w:rPr>
        <w:t>przedsiębiorcą potwierdza wiarygodność tłumaczenia własnoręcznym podpisem.</w:t>
      </w:r>
    </w:p>
    <w:p w14:paraId="04F5FE6A" w14:textId="45AEA76E" w:rsidR="00F20F5B" w:rsidRPr="00771E87" w:rsidRDefault="00507E19" w:rsidP="0052493A">
      <w:pPr>
        <w:pStyle w:val="NCBR2Nagowek"/>
        <w:spacing w:after="360"/>
        <w:rPr>
          <w:rFonts w:asciiTheme="minorHAnsi" w:hAnsiTheme="minorHAnsi" w:cstheme="minorHAnsi"/>
          <w:szCs w:val="28"/>
        </w:rPr>
      </w:pPr>
      <w:bookmarkStart w:id="113" w:name="_Toc153712619"/>
      <w:bookmarkStart w:id="114" w:name="_Toc162526833"/>
      <w:r w:rsidRPr="00771E87">
        <w:rPr>
          <w:rFonts w:asciiTheme="minorHAnsi" w:hAnsiTheme="minorHAnsi" w:cstheme="minorHAnsi"/>
          <w:szCs w:val="28"/>
        </w:rPr>
        <w:t xml:space="preserve">8. </w:t>
      </w:r>
      <w:r w:rsidR="00E72802" w:rsidRPr="00771E87">
        <w:rPr>
          <w:rFonts w:asciiTheme="minorHAnsi" w:hAnsiTheme="minorHAnsi" w:cstheme="minorHAnsi"/>
          <w:szCs w:val="28"/>
        </w:rPr>
        <w:t xml:space="preserve">Koszty </w:t>
      </w:r>
      <w:bookmarkEnd w:id="107"/>
      <w:r w:rsidR="00867CFA" w:rsidRPr="00771E87">
        <w:rPr>
          <w:rFonts w:asciiTheme="minorHAnsi" w:hAnsiTheme="minorHAnsi" w:cstheme="minorHAnsi"/>
          <w:szCs w:val="28"/>
        </w:rPr>
        <w:t>niekwalifikowalne</w:t>
      </w:r>
      <w:bookmarkEnd w:id="113"/>
      <w:bookmarkEnd w:id="114"/>
    </w:p>
    <w:p w14:paraId="7791C9B5" w14:textId="77777777" w:rsidR="00B10F5B" w:rsidRPr="00771E87" w:rsidRDefault="00B10F5B" w:rsidP="00B25D62">
      <w:pPr>
        <w:keepLines/>
        <w:widowControl w:val="0"/>
        <w:spacing w:after="0" w:line="360" w:lineRule="auto"/>
        <w:rPr>
          <w:rFonts w:cstheme="minorHAnsi"/>
          <w:iCs/>
          <w:sz w:val="24"/>
          <w:szCs w:val="24"/>
        </w:rPr>
      </w:pPr>
      <w:r w:rsidRPr="00771E87">
        <w:rPr>
          <w:rFonts w:cstheme="minorHAnsi"/>
          <w:iCs/>
          <w:sz w:val="24"/>
          <w:szCs w:val="24"/>
        </w:rPr>
        <w:t>Do kosztów kwalifikowanych nie zalicza się:</w:t>
      </w:r>
    </w:p>
    <w:p w14:paraId="071A25A9" w14:textId="09E58E4B" w:rsidR="00FE76D8" w:rsidRPr="00771E87" w:rsidRDefault="026A4C7C"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w:t>
      </w:r>
      <w:r w:rsidR="3193F705" w:rsidRPr="00771E87">
        <w:rPr>
          <w:rFonts w:cstheme="minorHAnsi"/>
          <w:sz w:val="24"/>
          <w:szCs w:val="24"/>
        </w:rPr>
        <w:t>osztów poniesionych poza okresem kwalifikowalności określonym w umowie o objęcie przedsięwzięcia MŚP wsparciem</w:t>
      </w:r>
      <w:r w:rsidR="2011CBB2" w:rsidRPr="00771E87">
        <w:rPr>
          <w:rFonts w:cstheme="minorHAnsi"/>
          <w:sz w:val="24"/>
          <w:szCs w:val="24"/>
        </w:rPr>
        <w:t>,</w:t>
      </w:r>
      <w:r w:rsidR="3193F705" w:rsidRPr="00771E87">
        <w:rPr>
          <w:rFonts w:cstheme="minorHAnsi"/>
          <w:sz w:val="24"/>
          <w:szCs w:val="24"/>
        </w:rPr>
        <w:t xml:space="preserve"> </w:t>
      </w:r>
    </w:p>
    <w:p w14:paraId="0005589E" w14:textId="6E955194" w:rsidR="00FE76D8" w:rsidRPr="00771E87" w:rsidRDefault="3193F705"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kosztów niespełniających warunków kwalifikowalności określonych w Przewodniku</w:t>
      </w:r>
      <w:r w:rsidR="132029C8" w:rsidRPr="00771E87">
        <w:rPr>
          <w:rFonts w:cstheme="minorHAnsi"/>
          <w:sz w:val="24"/>
          <w:szCs w:val="24"/>
        </w:rPr>
        <w:t>,</w:t>
      </w:r>
    </w:p>
    <w:p w14:paraId="4EC8CF02" w14:textId="2B4AA894" w:rsidR="009A5F9E" w:rsidRPr="00771E87" w:rsidRDefault="3193F705"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kosztó</w:t>
      </w:r>
      <w:r w:rsidR="026A4C7C" w:rsidRPr="00771E87">
        <w:rPr>
          <w:rFonts w:cstheme="minorHAnsi"/>
          <w:sz w:val="24"/>
          <w:szCs w:val="24"/>
        </w:rPr>
        <w:t>w</w:t>
      </w:r>
      <w:r w:rsidRPr="00771E87">
        <w:rPr>
          <w:rFonts w:cstheme="minorHAnsi"/>
          <w:sz w:val="24"/>
          <w:szCs w:val="24"/>
        </w:rPr>
        <w:t xml:space="preserve"> nieudokumentowanych lub nienależycie udokumentowanych</w:t>
      </w:r>
      <w:r w:rsidR="74DDBB49" w:rsidRPr="00771E87">
        <w:rPr>
          <w:rFonts w:cstheme="minorHAnsi"/>
          <w:sz w:val="24"/>
          <w:szCs w:val="24"/>
        </w:rPr>
        <w:t>,</w:t>
      </w:r>
    </w:p>
    <w:p w14:paraId="2EF42FAC" w14:textId="34802601" w:rsidR="00B10F5B" w:rsidRPr="00771E87" w:rsidRDefault="16CEDF3D"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podatku od towarów i usług (VAT)</w:t>
      </w:r>
      <w:r w:rsidR="0EA196CD" w:rsidRPr="00771E87">
        <w:rPr>
          <w:rFonts w:cstheme="minorHAnsi"/>
          <w:sz w:val="24"/>
          <w:szCs w:val="24"/>
        </w:rPr>
        <w:t>,</w:t>
      </w:r>
    </w:p>
    <w:p w14:paraId="68D5AA54" w14:textId="5F7A86E9" w:rsidR="00B10F5B" w:rsidRPr="00771E87" w:rsidRDefault="16CEDF3D"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lastRenderedPageBreak/>
        <w:t>zakupu gruntów lub innych nieruchomości</w:t>
      </w:r>
      <w:r w:rsidR="2106109B" w:rsidRPr="00771E87">
        <w:rPr>
          <w:rFonts w:cstheme="minorHAnsi"/>
          <w:sz w:val="24"/>
          <w:szCs w:val="24"/>
        </w:rPr>
        <w:t>,</w:t>
      </w:r>
    </w:p>
    <w:p w14:paraId="11CA1F2B" w14:textId="77777777" w:rsidR="00170EA9" w:rsidRPr="00771E87" w:rsidRDefault="16CEDF3D" w:rsidP="450F1B5E">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 xml:space="preserve">wynagrodzeń pracowników wnioskodawcy </w:t>
      </w:r>
      <w:r w:rsidR="7D9E8958" w:rsidRPr="00771E87">
        <w:rPr>
          <w:rFonts w:cstheme="minorHAnsi"/>
          <w:sz w:val="24"/>
          <w:szCs w:val="24"/>
        </w:rPr>
        <w:t>oraz pochodnych od nich</w:t>
      </w:r>
      <w:r w:rsidR="585C2E6A" w:rsidRPr="00771E87">
        <w:rPr>
          <w:rFonts w:cstheme="minorHAnsi"/>
          <w:sz w:val="24"/>
          <w:szCs w:val="24"/>
        </w:rPr>
        <w:t>,</w:t>
      </w:r>
    </w:p>
    <w:p w14:paraId="67F45857" w14:textId="36DB9294" w:rsidR="00B10F5B" w:rsidRPr="00771E87" w:rsidRDefault="00170EA9" w:rsidP="001B3A99">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koszt</w:t>
      </w:r>
      <w:r w:rsidR="0D642141" w:rsidRPr="00771E87">
        <w:rPr>
          <w:rFonts w:cstheme="minorHAnsi"/>
          <w:sz w:val="24"/>
          <w:szCs w:val="24"/>
        </w:rPr>
        <w:t>ów</w:t>
      </w:r>
      <w:r w:rsidR="16CEDF3D" w:rsidRPr="00771E87">
        <w:rPr>
          <w:rFonts w:cstheme="minorHAnsi"/>
          <w:sz w:val="24"/>
          <w:szCs w:val="24"/>
        </w:rPr>
        <w:t xml:space="preserve"> </w:t>
      </w:r>
      <w:r w:rsidRPr="00771E87">
        <w:rPr>
          <w:rFonts w:cstheme="minorHAnsi"/>
          <w:sz w:val="24"/>
          <w:szCs w:val="24"/>
        </w:rPr>
        <w:t>administracyjn</w:t>
      </w:r>
      <w:r w:rsidR="486C4AC1" w:rsidRPr="00771E87">
        <w:rPr>
          <w:rFonts w:cstheme="minorHAnsi"/>
          <w:sz w:val="24"/>
          <w:szCs w:val="24"/>
        </w:rPr>
        <w:t>ych</w:t>
      </w:r>
      <w:r w:rsidRPr="00771E87">
        <w:rPr>
          <w:rFonts w:cstheme="minorHAnsi"/>
          <w:sz w:val="24"/>
          <w:szCs w:val="24"/>
        </w:rPr>
        <w:t>, w tym utrzymanie budynków, najem, dzierżawa albo koszt</w:t>
      </w:r>
      <w:r w:rsidR="5CE2FC2E" w:rsidRPr="00771E87">
        <w:rPr>
          <w:rFonts w:cstheme="minorHAnsi"/>
          <w:sz w:val="24"/>
          <w:szCs w:val="24"/>
        </w:rPr>
        <w:t>ów</w:t>
      </w:r>
      <w:r w:rsidRPr="00771E87">
        <w:rPr>
          <w:rFonts w:cstheme="minorHAnsi"/>
          <w:sz w:val="24"/>
          <w:szCs w:val="24"/>
        </w:rPr>
        <w:t xml:space="preserve"> ponoszon</w:t>
      </w:r>
      <w:r w:rsidR="6A413BE6" w:rsidRPr="00771E87">
        <w:rPr>
          <w:rFonts w:cstheme="minorHAnsi"/>
          <w:sz w:val="24"/>
          <w:szCs w:val="24"/>
        </w:rPr>
        <w:t>ych</w:t>
      </w:r>
      <w:r w:rsidRPr="00771E87">
        <w:rPr>
          <w:rFonts w:cstheme="minorHAnsi"/>
          <w:sz w:val="24"/>
          <w:szCs w:val="24"/>
        </w:rPr>
        <w:t xml:space="preserve"> z innego tytułu prawnego dotycząc</w:t>
      </w:r>
      <w:r w:rsidR="78FF8E7F" w:rsidRPr="00771E87">
        <w:rPr>
          <w:rFonts w:cstheme="minorHAnsi"/>
          <w:sz w:val="24"/>
          <w:szCs w:val="24"/>
        </w:rPr>
        <w:t>ych</w:t>
      </w:r>
      <w:r w:rsidRPr="00771E87">
        <w:rPr>
          <w:rFonts w:cstheme="minorHAnsi"/>
          <w:sz w:val="24"/>
          <w:szCs w:val="24"/>
        </w:rPr>
        <w:t xml:space="preserve"> pomieszczeń w tej części, która będzie bezpośrednio wykorzystana do realizacji przedsięwzięcia</w:t>
      </w:r>
      <w:r w:rsidR="6084C375" w:rsidRPr="00771E87">
        <w:rPr>
          <w:rFonts w:cstheme="minorHAnsi"/>
          <w:sz w:val="24"/>
          <w:szCs w:val="24"/>
        </w:rPr>
        <w:t xml:space="preserve"> MŚP</w:t>
      </w:r>
      <w:r w:rsidRPr="00771E87">
        <w:rPr>
          <w:rFonts w:cstheme="minorHAnsi"/>
          <w:sz w:val="24"/>
          <w:szCs w:val="24"/>
        </w:rPr>
        <w:t>,</w:t>
      </w:r>
    </w:p>
    <w:p w14:paraId="6FE9E98C" w14:textId="51F9F63C" w:rsidR="005A4030" w:rsidRPr="00771E87" w:rsidRDefault="00B10F5B" w:rsidP="00B25D62">
      <w:pPr>
        <w:pStyle w:val="Akapitzlist"/>
        <w:keepLines/>
        <w:widowControl w:val="0"/>
        <w:numPr>
          <w:ilvl w:val="1"/>
          <w:numId w:val="17"/>
        </w:numPr>
        <w:spacing w:after="0" w:line="360" w:lineRule="auto"/>
        <w:rPr>
          <w:rFonts w:cstheme="minorHAnsi"/>
          <w:iCs/>
          <w:sz w:val="24"/>
          <w:szCs w:val="24"/>
        </w:rPr>
      </w:pPr>
      <w:r w:rsidRPr="00771E87">
        <w:rPr>
          <w:rFonts w:cstheme="minorHAnsi"/>
          <w:iCs/>
          <w:sz w:val="24"/>
          <w:szCs w:val="24"/>
        </w:rPr>
        <w:t>zakupu samochodów osobowych mających więcej niż jeden rząd siedzeń, w których rząd siedzeń nie jest oddzielony od części przeznaczonej do przewozu ładunków ścianą lub trwałą przegrodą zamontowaną przez producenta pojazdu</w:t>
      </w:r>
      <w:r w:rsidR="00170EA9" w:rsidRPr="00771E87">
        <w:rPr>
          <w:rFonts w:cstheme="minorHAnsi"/>
          <w:iCs/>
          <w:sz w:val="24"/>
          <w:szCs w:val="24"/>
        </w:rPr>
        <w:t>,</w:t>
      </w:r>
    </w:p>
    <w:p w14:paraId="5AD74B9F" w14:textId="37212362" w:rsidR="005A4030" w:rsidRPr="00771E87" w:rsidRDefault="005A4030" w:rsidP="00B25D62">
      <w:pPr>
        <w:pStyle w:val="Akapitzlist"/>
        <w:keepLines/>
        <w:widowControl w:val="0"/>
        <w:numPr>
          <w:ilvl w:val="1"/>
          <w:numId w:val="17"/>
        </w:numPr>
        <w:spacing w:after="0" w:line="360" w:lineRule="auto"/>
        <w:rPr>
          <w:rFonts w:cstheme="minorHAnsi"/>
          <w:iCs/>
          <w:sz w:val="24"/>
          <w:szCs w:val="24"/>
        </w:rPr>
      </w:pPr>
      <w:r w:rsidRPr="00771E87">
        <w:rPr>
          <w:rFonts w:cstheme="minorHAnsi"/>
          <w:sz w:val="24"/>
          <w:szCs w:val="24"/>
        </w:rPr>
        <w:t>kar i grzyw</w:t>
      </w:r>
      <w:r w:rsidR="009A5F9E" w:rsidRPr="00771E87">
        <w:rPr>
          <w:rFonts w:cstheme="minorHAnsi"/>
          <w:sz w:val="24"/>
          <w:szCs w:val="24"/>
        </w:rPr>
        <w:t>ien</w:t>
      </w:r>
      <w:r w:rsidRPr="00771E87">
        <w:rPr>
          <w:rFonts w:cstheme="minorHAnsi"/>
          <w:sz w:val="24"/>
          <w:szCs w:val="24"/>
        </w:rPr>
        <w:t>,</w:t>
      </w:r>
    </w:p>
    <w:p w14:paraId="418393CF" w14:textId="6C647FCE" w:rsidR="005A4030" w:rsidRPr="00771E87" w:rsidRDefault="005A4030" w:rsidP="04FB455B">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kosz</w:t>
      </w:r>
      <w:r w:rsidR="009A5F9E" w:rsidRPr="00771E87">
        <w:rPr>
          <w:rFonts w:cstheme="minorHAnsi"/>
          <w:sz w:val="24"/>
          <w:szCs w:val="24"/>
        </w:rPr>
        <w:t>tów</w:t>
      </w:r>
      <w:r w:rsidRPr="00771E87">
        <w:rPr>
          <w:rFonts w:cstheme="minorHAnsi"/>
          <w:sz w:val="24"/>
          <w:szCs w:val="24"/>
        </w:rPr>
        <w:t xml:space="preserve"> postępowania sądowego, wydatk</w:t>
      </w:r>
      <w:r w:rsidR="2BF41679" w:rsidRPr="00771E87">
        <w:rPr>
          <w:rFonts w:cstheme="minorHAnsi"/>
          <w:sz w:val="24"/>
          <w:szCs w:val="24"/>
        </w:rPr>
        <w:t>ów</w:t>
      </w:r>
      <w:r w:rsidRPr="00771E87">
        <w:rPr>
          <w:rFonts w:cstheme="minorHAnsi"/>
          <w:sz w:val="24"/>
          <w:szCs w:val="24"/>
        </w:rPr>
        <w:t xml:space="preserve"> związan</w:t>
      </w:r>
      <w:r w:rsidR="487E532C" w:rsidRPr="00771E87">
        <w:rPr>
          <w:rFonts w:cstheme="minorHAnsi"/>
          <w:sz w:val="24"/>
          <w:szCs w:val="24"/>
        </w:rPr>
        <w:t>ych</w:t>
      </w:r>
      <w:r w:rsidRPr="00771E87">
        <w:rPr>
          <w:rFonts w:cstheme="minorHAnsi"/>
          <w:sz w:val="24"/>
          <w:szCs w:val="24"/>
        </w:rPr>
        <w:t xml:space="preserve"> z przygotowaniem i obsługą prawną spraw sądowych oraz wydatk</w:t>
      </w:r>
      <w:r w:rsidR="5E9CA628" w:rsidRPr="00771E87">
        <w:rPr>
          <w:rFonts w:cstheme="minorHAnsi"/>
          <w:sz w:val="24"/>
          <w:szCs w:val="24"/>
        </w:rPr>
        <w:t>ów</w:t>
      </w:r>
      <w:r w:rsidRPr="00771E87">
        <w:rPr>
          <w:rFonts w:cstheme="minorHAnsi"/>
          <w:sz w:val="24"/>
          <w:szCs w:val="24"/>
        </w:rPr>
        <w:t xml:space="preserve"> poniesion</w:t>
      </w:r>
      <w:r w:rsidR="7C945ECD" w:rsidRPr="00771E87">
        <w:rPr>
          <w:rFonts w:cstheme="minorHAnsi"/>
          <w:sz w:val="24"/>
          <w:szCs w:val="24"/>
        </w:rPr>
        <w:t>ych</w:t>
      </w:r>
      <w:r w:rsidRPr="00771E87">
        <w:rPr>
          <w:rFonts w:cstheme="minorHAnsi"/>
          <w:sz w:val="24"/>
          <w:szCs w:val="24"/>
        </w:rPr>
        <w:t xml:space="preserve"> na funkcjonowanie komisji rozjemczych,</w:t>
      </w:r>
    </w:p>
    <w:p w14:paraId="0BE53CD6" w14:textId="76ECCB5B" w:rsidR="005A4030" w:rsidRPr="00771E87" w:rsidRDefault="005A4030" w:rsidP="00B25D62">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koszt</w:t>
      </w:r>
      <w:r w:rsidR="009A5F9E" w:rsidRPr="00771E87">
        <w:rPr>
          <w:rFonts w:cstheme="minorHAnsi"/>
          <w:sz w:val="24"/>
          <w:szCs w:val="24"/>
        </w:rPr>
        <w:t>ów</w:t>
      </w:r>
      <w:r w:rsidRPr="00771E87">
        <w:rPr>
          <w:rFonts w:cstheme="minorHAnsi"/>
          <w:sz w:val="24"/>
          <w:szCs w:val="24"/>
        </w:rPr>
        <w:t xml:space="preserve"> pożyczki lub kredytu zaciągniętego na prefinansowanie dotacji</w:t>
      </w:r>
      <w:r w:rsidR="00094CA6" w:rsidRPr="00771E87">
        <w:rPr>
          <w:rFonts w:cstheme="minorHAnsi"/>
          <w:sz w:val="24"/>
          <w:szCs w:val="24"/>
        </w:rPr>
        <w:t>, tj. odsetek, prowizji,</w:t>
      </w:r>
    </w:p>
    <w:p w14:paraId="07647D2C" w14:textId="0B8CDC72" w:rsidR="00F95D29" w:rsidRPr="00771E87" w:rsidRDefault="005A4030" w:rsidP="00B25D62">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prowizj</w:t>
      </w:r>
      <w:r w:rsidR="009A5F9E" w:rsidRPr="00771E87">
        <w:rPr>
          <w:rFonts w:cstheme="minorHAnsi"/>
          <w:sz w:val="24"/>
          <w:szCs w:val="24"/>
        </w:rPr>
        <w:t>i</w:t>
      </w:r>
      <w:r w:rsidRPr="00771E87">
        <w:rPr>
          <w:rFonts w:cstheme="minorHAnsi"/>
          <w:sz w:val="24"/>
          <w:szCs w:val="24"/>
        </w:rPr>
        <w:t xml:space="preserve"> pobieran</w:t>
      </w:r>
      <w:r w:rsidR="009A5F9E" w:rsidRPr="00771E87">
        <w:rPr>
          <w:rFonts w:cstheme="minorHAnsi"/>
          <w:sz w:val="24"/>
          <w:szCs w:val="24"/>
        </w:rPr>
        <w:t>ych</w:t>
      </w:r>
      <w:r w:rsidRPr="00771E87">
        <w:rPr>
          <w:rFonts w:cstheme="minorHAnsi"/>
          <w:sz w:val="24"/>
          <w:szCs w:val="24"/>
        </w:rPr>
        <w:t xml:space="preserve"> w ramach operacji wymiany walut,</w:t>
      </w:r>
    </w:p>
    <w:p w14:paraId="4697A43D" w14:textId="35F1C2AD" w:rsidR="00F95D29" w:rsidRPr="00771E87" w:rsidRDefault="005A4030" w:rsidP="00B25D62">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rozliczon</w:t>
      </w:r>
      <w:r w:rsidR="009A5F9E" w:rsidRPr="00771E87">
        <w:rPr>
          <w:rFonts w:cstheme="minorHAnsi"/>
          <w:sz w:val="24"/>
          <w:szCs w:val="24"/>
        </w:rPr>
        <w:t>ego</w:t>
      </w:r>
      <w:r w:rsidRPr="00771E87">
        <w:rPr>
          <w:rFonts w:cstheme="minorHAnsi"/>
          <w:sz w:val="24"/>
          <w:szCs w:val="24"/>
        </w:rPr>
        <w:t xml:space="preserve"> notą księgową koszt</w:t>
      </w:r>
      <w:r w:rsidR="009A5F9E" w:rsidRPr="00771E87">
        <w:rPr>
          <w:rFonts w:cstheme="minorHAnsi"/>
          <w:sz w:val="24"/>
          <w:szCs w:val="24"/>
        </w:rPr>
        <w:t>u</w:t>
      </w:r>
      <w:r w:rsidRPr="00771E87">
        <w:rPr>
          <w:rFonts w:cstheme="minorHAnsi"/>
          <w:sz w:val="24"/>
          <w:szCs w:val="24"/>
        </w:rPr>
        <w:t xml:space="preserve"> zakupu środka trwałego będącego własnością</w:t>
      </w:r>
      <w:r w:rsidR="00F95D29" w:rsidRPr="00771E87">
        <w:rPr>
          <w:rFonts w:cstheme="minorHAnsi"/>
          <w:sz w:val="24"/>
          <w:szCs w:val="24"/>
        </w:rPr>
        <w:t xml:space="preserve"> przedsiębiorcy,</w:t>
      </w:r>
    </w:p>
    <w:p w14:paraId="6880E986" w14:textId="6286BD1A" w:rsidR="00F95D29" w:rsidRPr="00771E87" w:rsidRDefault="005A4030" w:rsidP="00B25D62">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nagr</w:t>
      </w:r>
      <w:r w:rsidR="009A5F9E" w:rsidRPr="00771E87">
        <w:rPr>
          <w:rFonts w:cstheme="minorHAnsi"/>
          <w:sz w:val="24"/>
          <w:szCs w:val="24"/>
        </w:rPr>
        <w:t>ód</w:t>
      </w:r>
      <w:r w:rsidRPr="00771E87">
        <w:rPr>
          <w:rFonts w:cstheme="minorHAnsi"/>
          <w:sz w:val="24"/>
          <w:szCs w:val="24"/>
        </w:rPr>
        <w:t xml:space="preserve"> jubileuszow</w:t>
      </w:r>
      <w:r w:rsidR="009A5F9E" w:rsidRPr="00771E87">
        <w:rPr>
          <w:rFonts w:cstheme="minorHAnsi"/>
          <w:sz w:val="24"/>
          <w:szCs w:val="24"/>
        </w:rPr>
        <w:t>ych</w:t>
      </w:r>
      <w:r w:rsidRPr="00771E87">
        <w:rPr>
          <w:rFonts w:cstheme="minorHAnsi"/>
          <w:sz w:val="24"/>
          <w:szCs w:val="24"/>
        </w:rPr>
        <w:t xml:space="preserve"> </w:t>
      </w:r>
      <w:r w:rsidR="00094CA6" w:rsidRPr="00771E87">
        <w:rPr>
          <w:rFonts w:cstheme="minorHAnsi"/>
          <w:sz w:val="24"/>
          <w:szCs w:val="24"/>
        </w:rPr>
        <w:t xml:space="preserve">oraz odpraw pracowniczych </w:t>
      </w:r>
      <w:r w:rsidRPr="00771E87">
        <w:rPr>
          <w:rFonts w:cstheme="minorHAnsi"/>
          <w:sz w:val="24"/>
          <w:szCs w:val="24"/>
        </w:rPr>
        <w:t>przeznaczon</w:t>
      </w:r>
      <w:r w:rsidR="009A5F9E" w:rsidRPr="00771E87">
        <w:rPr>
          <w:rFonts w:cstheme="minorHAnsi"/>
          <w:sz w:val="24"/>
          <w:szCs w:val="24"/>
        </w:rPr>
        <w:t>ych</w:t>
      </w:r>
      <w:r w:rsidRPr="00771E87">
        <w:rPr>
          <w:rFonts w:cstheme="minorHAnsi"/>
          <w:sz w:val="24"/>
          <w:szCs w:val="24"/>
        </w:rPr>
        <w:t xml:space="preserve"> dla personelu </w:t>
      </w:r>
      <w:r w:rsidR="00C848B7" w:rsidRPr="00771E87">
        <w:rPr>
          <w:rFonts w:cstheme="minorHAnsi"/>
          <w:sz w:val="24"/>
          <w:szCs w:val="24"/>
        </w:rPr>
        <w:t>przedsięwzięcia MŚP</w:t>
      </w:r>
      <w:r w:rsidRPr="00771E87">
        <w:rPr>
          <w:rFonts w:cstheme="minorHAnsi"/>
          <w:sz w:val="24"/>
          <w:szCs w:val="24"/>
        </w:rPr>
        <w:t>,</w:t>
      </w:r>
      <w:r w:rsidR="00F95D29" w:rsidRPr="00771E87">
        <w:rPr>
          <w:rFonts w:cstheme="minorHAnsi"/>
          <w:sz w:val="24"/>
          <w:szCs w:val="24"/>
        </w:rPr>
        <w:t xml:space="preserve"> </w:t>
      </w:r>
    </w:p>
    <w:p w14:paraId="2E443264" w14:textId="7D684225" w:rsidR="00F95D29" w:rsidRPr="00771E87" w:rsidRDefault="005A4030" w:rsidP="00B25D62">
      <w:pPr>
        <w:pStyle w:val="Akapitzlist"/>
        <w:keepLines/>
        <w:widowControl w:val="0"/>
        <w:numPr>
          <w:ilvl w:val="1"/>
          <w:numId w:val="17"/>
        </w:numPr>
        <w:spacing w:after="0" w:line="360" w:lineRule="auto"/>
        <w:rPr>
          <w:rFonts w:cstheme="minorHAnsi"/>
          <w:sz w:val="24"/>
          <w:szCs w:val="24"/>
        </w:rPr>
      </w:pPr>
      <w:r w:rsidRPr="00771E87">
        <w:rPr>
          <w:rFonts w:cstheme="minorHAnsi"/>
          <w:sz w:val="24"/>
          <w:szCs w:val="24"/>
        </w:rPr>
        <w:t>wpłat dokonywan</w:t>
      </w:r>
      <w:r w:rsidR="009A5F9E" w:rsidRPr="00771E87">
        <w:rPr>
          <w:rFonts w:cstheme="minorHAnsi"/>
          <w:sz w:val="24"/>
          <w:szCs w:val="24"/>
        </w:rPr>
        <w:t>ych</w:t>
      </w:r>
      <w:r w:rsidRPr="00771E87">
        <w:rPr>
          <w:rFonts w:cstheme="minorHAnsi"/>
          <w:sz w:val="24"/>
          <w:szCs w:val="24"/>
        </w:rPr>
        <w:t xml:space="preserve"> na Państwowy Fundusz Rehabilitacji Osób</w:t>
      </w:r>
      <w:r w:rsidR="00F95D29" w:rsidRPr="00771E87">
        <w:rPr>
          <w:rFonts w:cstheme="minorHAnsi"/>
          <w:sz w:val="24"/>
          <w:szCs w:val="24"/>
        </w:rPr>
        <w:t xml:space="preserve"> </w:t>
      </w:r>
      <w:r w:rsidRPr="00771E87">
        <w:rPr>
          <w:rFonts w:cstheme="minorHAnsi"/>
          <w:sz w:val="24"/>
          <w:szCs w:val="24"/>
        </w:rPr>
        <w:t>Niepełnosprawnych zgodnie z ustawą z dnia 27 sierpnia 1997 r. o rehabilitacji</w:t>
      </w:r>
      <w:r w:rsidR="00F95D29" w:rsidRPr="00771E87">
        <w:rPr>
          <w:rFonts w:cstheme="minorHAnsi"/>
          <w:sz w:val="24"/>
          <w:szCs w:val="24"/>
        </w:rPr>
        <w:t xml:space="preserve"> </w:t>
      </w:r>
      <w:r w:rsidRPr="00771E87">
        <w:rPr>
          <w:rFonts w:cstheme="minorHAnsi"/>
          <w:sz w:val="24"/>
          <w:szCs w:val="24"/>
        </w:rPr>
        <w:t>zawodowej i społecznej</w:t>
      </w:r>
      <w:r w:rsidR="005C1C27" w:rsidRPr="00771E87">
        <w:rPr>
          <w:rFonts w:cstheme="minorHAnsi"/>
          <w:sz w:val="24"/>
          <w:szCs w:val="24"/>
        </w:rPr>
        <w:t xml:space="preserve"> </w:t>
      </w:r>
      <w:r w:rsidRPr="00771E87">
        <w:rPr>
          <w:rFonts w:cstheme="minorHAnsi"/>
          <w:sz w:val="24"/>
          <w:szCs w:val="24"/>
        </w:rPr>
        <w:t>oraz zatrudnianiu osób niepełnosprawnych (Dz. U. z</w:t>
      </w:r>
      <w:r w:rsidR="00F95D29" w:rsidRPr="00771E87">
        <w:rPr>
          <w:rFonts w:cstheme="minorHAnsi"/>
          <w:sz w:val="24"/>
          <w:szCs w:val="24"/>
        </w:rPr>
        <w:t xml:space="preserve"> </w:t>
      </w:r>
      <w:r w:rsidRPr="00771E87">
        <w:rPr>
          <w:rFonts w:cstheme="minorHAnsi"/>
          <w:sz w:val="24"/>
          <w:szCs w:val="24"/>
        </w:rPr>
        <w:t>202</w:t>
      </w:r>
      <w:r w:rsidR="005C7142" w:rsidRPr="00771E87">
        <w:rPr>
          <w:rFonts w:cstheme="minorHAnsi"/>
          <w:sz w:val="24"/>
          <w:szCs w:val="24"/>
        </w:rPr>
        <w:t>4</w:t>
      </w:r>
      <w:r w:rsidRPr="00771E87">
        <w:rPr>
          <w:rFonts w:cstheme="minorHAnsi"/>
          <w:sz w:val="24"/>
          <w:szCs w:val="24"/>
        </w:rPr>
        <w:t xml:space="preserve"> r. poz. </w:t>
      </w:r>
      <w:r w:rsidR="005C7142" w:rsidRPr="00771E87">
        <w:rPr>
          <w:rFonts w:cstheme="minorHAnsi"/>
          <w:sz w:val="24"/>
          <w:szCs w:val="24"/>
        </w:rPr>
        <w:t>44</w:t>
      </w:r>
      <w:r w:rsidR="00C040ED" w:rsidRPr="00771E87">
        <w:rPr>
          <w:rFonts w:cstheme="minorHAnsi"/>
          <w:sz w:val="24"/>
          <w:szCs w:val="24"/>
        </w:rPr>
        <w:t>.</w:t>
      </w:r>
      <w:r w:rsidRPr="00771E87">
        <w:rPr>
          <w:rFonts w:cstheme="minorHAnsi"/>
          <w:sz w:val="24"/>
          <w:szCs w:val="24"/>
        </w:rPr>
        <w:t>), w tym wpłat dokonywan</w:t>
      </w:r>
      <w:r w:rsidR="009A5F9E" w:rsidRPr="00771E87">
        <w:rPr>
          <w:rFonts w:cstheme="minorHAnsi"/>
          <w:sz w:val="24"/>
          <w:szCs w:val="24"/>
        </w:rPr>
        <w:t>ych</w:t>
      </w:r>
      <w:r w:rsidRPr="00771E87">
        <w:rPr>
          <w:rFonts w:cstheme="minorHAnsi"/>
          <w:sz w:val="24"/>
          <w:szCs w:val="24"/>
        </w:rPr>
        <w:t xml:space="preserve"> przez stronę trzecią,</w:t>
      </w:r>
    </w:p>
    <w:p w14:paraId="2A21C4B9" w14:textId="2F77D121" w:rsidR="001F3440" w:rsidRPr="00771E87" w:rsidRDefault="005A4030" w:rsidP="001F3440">
      <w:pPr>
        <w:pStyle w:val="Akapitzlist"/>
        <w:keepLines/>
        <w:widowControl w:val="0"/>
        <w:numPr>
          <w:ilvl w:val="1"/>
          <w:numId w:val="17"/>
        </w:numPr>
        <w:spacing w:after="0" w:line="360" w:lineRule="auto"/>
        <w:rPr>
          <w:rFonts w:cstheme="minorHAnsi"/>
        </w:rPr>
      </w:pPr>
      <w:r w:rsidRPr="00771E87">
        <w:rPr>
          <w:rFonts w:cstheme="minorHAnsi"/>
          <w:sz w:val="24"/>
          <w:szCs w:val="24"/>
        </w:rPr>
        <w:t>świadcze</w:t>
      </w:r>
      <w:r w:rsidR="009A5F9E" w:rsidRPr="00771E87">
        <w:rPr>
          <w:rFonts w:cstheme="minorHAnsi"/>
          <w:sz w:val="24"/>
          <w:szCs w:val="24"/>
        </w:rPr>
        <w:t>ń</w:t>
      </w:r>
      <w:r w:rsidRPr="00771E87">
        <w:rPr>
          <w:rFonts w:cstheme="minorHAnsi"/>
          <w:sz w:val="24"/>
          <w:szCs w:val="24"/>
        </w:rPr>
        <w:t xml:space="preserve"> na rzecz personelu </w:t>
      </w:r>
      <w:r w:rsidR="00C848B7" w:rsidRPr="00771E87">
        <w:rPr>
          <w:rFonts w:cstheme="minorHAnsi"/>
          <w:sz w:val="24"/>
          <w:szCs w:val="24"/>
        </w:rPr>
        <w:t>przedsięwzięcia MŚP</w:t>
      </w:r>
      <w:r w:rsidR="00FD6EE6" w:rsidRPr="00771E87">
        <w:rPr>
          <w:rFonts w:cstheme="minorHAnsi"/>
          <w:sz w:val="24"/>
          <w:szCs w:val="24"/>
        </w:rPr>
        <w:t xml:space="preserve"> </w:t>
      </w:r>
      <w:r w:rsidRPr="00771E87">
        <w:rPr>
          <w:rFonts w:cstheme="minorHAnsi"/>
          <w:sz w:val="24"/>
          <w:szCs w:val="24"/>
        </w:rPr>
        <w:t>realizowane z Zakładowego</w:t>
      </w:r>
      <w:r w:rsidR="00F95D29" w:rsidRPr="00771E87">
        <w:rPr>
          <w:rFonts w:cstheme="minorHAnsi"/>
          <w:sz w:val="24"/>
          <w:szCs w:val="24"/>
        </w:rPr>
        <w:t xml:space="preserve"> </w:t>
      </w:r>
      <w:r w:rsidRPr="00771E87">
        <w:rPr>
          <w:rFonts w:cstheme="minorHAnsi"/>
          <w:sz w:val="24"/>
          <w:szCs w:val="24"/>
        </w:rPr>
        <w:t>Funduszu Świadczeń Socjalnych (ZFŚS)</w:t>
      </w:r>
      <w:r w:rsidR="00717D1B" w:rsidRPr="00771E87">
        <w:rPr>
          <w:rFonts w:cstheme="minorHAnsi"/>
          <w:sz w:val="24"/>
          <w:szCs w:val="24"/>
        </w:rPr>
        <w:t>,</w:t>
      </w:r>
    </w:p>
    <w:p w14:paraId="7C44D143" w14:textId="5F3CB539" w:rsidR="0053226E" w:rsidRPr="00771E87" w:rsidRDefault="005C59EF" w:rsidP="0052493A">
      <w:pPr>
        <w:pStyle w:val="Akapitzlist"/>
        <w:keepLines/>
        <w:widowControl w:val="0"/>
        <w:numPr>
          <w:ilvl w:val="0"/>
          <w:numId w:val="142"/>
        </w:numPr>
        <w:spacing w:after="480" w:line="360" w:lineRule="auto"/>
        <w:ind w:left="782" w:hanging="357"/>
        <w:rPr>
          <w:rFonts w:cstheme="minorHAnsi"/>
        </w:rPr>
      </w:pPr>
      <w:r w:rsidRPr="00771E87">
        <w:rPr>
          <w:rFonts w:cstheme="minorHAnsi"/>
          <w:sz w:val="24"/>
          <w:szCs w:val="24"/>
        </w:rPr>
        <w:t>l</w:t>
      </w:r>
      <w:r w:rsidR="00DF748C" w:rsidRPr="00771E87">
        <w:rPr>
          <w:rFonts w:cstheme="minorHAnsi"/>
          <w:sz w:val="24"/>
          <w:szCs w:val="24"/>
        </w:rPr>
        <w:t>easing</w:t>
      </w:r>
      <w:r w:rsidRPr="00771E87">
        <w:rPr>
          <w:rFonts w:cstheme="minorHAnsi"/>
          <w:sz w:val="24"/>
          <w:szCs w:val="24"/>
        </w:rPr>
        <w:t>u</w:t>
      </w:r>
      <w:r w:rsidR="0052493A" w:rsidRPr="00771E87">
        <w:rPr>
          <w:rFonts w:cstheme="minorHAnsi"/>
          <w:sz w:val="24"/>
          <w:szCs w:val="24"/>
        </w:rPr>
        <w:t>.</w:t>
      </w:r>
    </w:p>
    <w:p w14:paraId="02FA82CC" w14:textId="6A1480D6" w:rsidR="0051501A" w:rsidRPr="00771E87" w:rsidRDefault="00507E19" w:rsidP="0052493A">
      <w:pPr>
        <w:pStyle w:val="NCBR2Nagowek"/>
        <w:spacing w:after="360"/>
        <w:rPr>
          <w:rFonts w:asciiTheme="minorHAnsi" w:hAnsiTheme="minorHAnsi" w:cstheme="minorHAnsi"/>
        </w:rPr>
      </w:pPr>
      <w:bookmarkStart w:id="115" w:name="_Toc162526834"/>
      <w:r w:rsidRPr="00771E87">
        <w:rPr>
          <w:rFonts w:asciiTheme="minorHAnsi" w:hAnsiTheme="minorHAnsi" w:cstheme="minorHAnsi"/>
        </w:rPr>
        <w:t xml:space="preserve">9. </w:t>
      </w:r>
      <w:r w:rsidR="00663FCA" w:rsidRPr="00771E87">
        <w:rPr>
          <w:rFonts w:asciiTheme="minorHAnsi" w:hAnsiTheme="minorHAnsi" w:cstheme="minorHAnsi"/>
        </w:rPr>
        <w:t>Podstawy prawne</w:t>
      </w:r>
      <w:bookmarkEnd w:id="115"/>
    </w:p>
    <w:p w14:paraId="50463760" w14:textId="4A3A8E1D" w:rsidR="00E02809" w:rsidRPr="00771E87" w:rsidRDefault="0CEA977A" w:rsidP="75A0D702">
      <w:pPr>
        <w:spacing w:line="360" w:lineRule="auto"/>
        <w:rPr>
          <w:sz w:val="24"/>
          <w:szCs w:val="24"/>
        </w:rPr>
      </w:pPr>
      <w:r w:rsidRPr="00771E87">
        <w:rPr>
          <w:sz w:val="24"/>
          <w:szCs w:val="24"/>
        </w:rPr>
        <w:t xml:space="preserve">Niniejszy Przewodnik kwalifikowalności wydatków dla Inwestycji A.1.2.1 został opracowany </w:t>
      </w:r>
      <w:r w:rsidR="46AD3367" w:rsidRPr="00771E87">
        <w:rPr>
          <w:sz w:val="24"/>
          <w:szCs w:val="24"/>
        </w:rPr>
        <w:t>na podstawie</w:t>
      </w:r>
      <w:r w:rsidRPr="00771E87">
        <w:rPr>
          <w:sz w:val="24"/>
          <w:szCs w:val="24"/>
        </w:rPr>
        <w:t xml:space="preserve"> przepisów prawa i zasad wdrażania KPO wynikających w szczególności z:</w:t>
      </w:r>
    </w:p>
    <w:p w14:paraId="30C74367" w14:textId="6C52289A" w:rsidR="00E02809" w:rsidRPr="00771E87" w:rsidRDefault="00E02809" w:rsidP="004B3A93">
      <w:pPr>
        <w:pStyle w:val="Akapitzlist"/>
        <w:numPr>
          <w:ilvl w:val="0"/>
          <w:numId w:val="14"/>
        </w:numPr>
        <w:spacing w:after="120" w:line="360" w:lineRule="auto"/>
        <w:ind w:left="850" w:hanging="425"/>
        <w:contextualSpacing w:val="0"/>
        <w:rPr>
          <w:rFonts w:cstheme="minorHAnsi"/>
          <w:sz w:val="24"/>
          <w:szCs w:val="24"/>
        </w:rPr>
      </w:pPr>
      <w:r w:rsidRPr="00771E87">
        <w:rPr>
          <w:rFonts w:cstheme="minorHAnsi"/>
          <w:sz w:val="24"/>
          <w:szCs w:val="24"/>
        </w:rPr>
        <w:lastRenderedPageBreak/>
        <w:t xml:space="preserve">Rozporządzenia </w:t>
      </w:r>
      <w:r w:rsidR="00663FCA" w:rsidRPr="00771E87">
        <w:rPr>
          <w:rFonts w:cstheme="minorHAnsi"/>
          <w:sz w:val="24"/>
          <w:szCs w:val="24"/>
        </w:rPr>
        <w:t>P</w:t>
      </w:r>
      <w:r w:rsidRPr="00771E87">
        <w:rPr>
          <w:rFonts w:cstheme="minorHAnsi"/>
          <w:sz w:val="24"/>
          <w:szCs w:val="24"/>
        </w:rPr>
        <w:t xml:space="preserve">arlamentu </w:t>
      </w:r>
      <w:r w:rsidR="00663FCA" w:rsidRPr="00771E87">
        <w:rPr>
          <w:rFonts w:cstheme="minorHAnsi"/>
          <w:sz w:val="24"/>
          <w:szCs w:val="24"/>
        </w:rPr>
        <w:t>E</w:t>
      </w:r>
      <w:r w:rsidRPr="00771E87">
        <w:rPr>
          <w:rFonts w:cstheme="minorHAnsi"/>
          <w:sz w:val="24"/>
          <w:szCs w:val="24"/>
        </w:rPr>
        <w:t xml:space="preserve">uropejskiego i </w:t>
      </w:r>
      <w:r w:rsidR="00663FCA" w:rsidRPr="00771E87">
        <w:rPr>
          <w:rFonts w:cstheme="minorHAnsi"/>
          <w:sz w:val="24"/>
          <w:szCs w:val="24"/>
        </w:rPr>
        <w:t>R</w:t>
      </w:r>
      <w:r w:rsidRPr="00771E87">
        <w:rPr>
          <w:rFonts w:cstheme="minorHAnsi"/>
          <w:sz w:val="24"/>
          <w:szCs w:val="24"/>
        </w:rPr>
        <w:t>ady (UE) 2021/241 z dnia 12 lutego 2021 r. ustanawiające</w:t>
      </w:r>
      <w:r w:rsidR="00663FCA" w:rsidRPr="00771E87">
        <w:rPr>
          <w:rFonts w:cstheme="minorHAnsi"/>
          <w:sz w:val="24"/>
          <w:szCs w:val="24"/>
        </w:rPr>
        <w:t>go</w:t>
      </w:r>
      <w:r w:rsidRPr="00771E87">
        <w:rPr>
          <w:rFonts w:cstheme="minorHAnsi"/>
          <w:sz w:val="24"/>
          <w:szCs w:val="24"/>
        </w:rPr>
        <w:t xml:space="preserve"> Instrument na rzecz Odbudowy i Zwiększania Odporności;</w:t>
      </w:r>
    </w:p>
    <w:p w14:paraId="6771A4FA" w14:textId="71E01547" w:rsidR="00E02809" w:rsidRPr="00771E87" w:rsidRDefault="703EED93" w:rsidP="5C24ED9C">
      <w:pPr>
        <w:pStyle w:val="Akapitzlist"/>
        <w:numPr>
          <w:ilvl w:val="0"/>
          <w:numId w:val="14"/>
        </w:numPr>
        <w:spacing w:after="120" w:line="360" w:lineRule="auto"/>
        <w:ind w:left="850" w:hanging="425"/>
        <w:rPr>
          <w:rFonts w:cstheme="minorHAnsi"/>
          <w:sz w:val="24"/>
          <w:szCs w:val="24"/>
        </w:rPr>
      </w:pPr>
      <w:r w:rsidRPr="00771E87">
        <w:rPr>
          <w:rFonts w:cstheme="minorHAnsi"/>
          <w:sz w:val="24"/>
          <w:szCs w:val="24"/>
        </w:rPr>
        <w:t>Krajowego Planu Odbudowy i Zwiększania Odporności, zatwierdzonego decyzją wykonawczą Rady Unii Europejskiej z dnia 17 czerwca 2022 r. w sprawie zatwierdzenia oceny planu odbudowy i zwiększania odporności Polski</w:t>
      </w:r>
      <w:r w:rsidR="3164A49A" w:rsidRPr="00771E87">
        <w:rPr>
          <w:rFonts w:cstheme="minorHAnsi"/>
          <w:sz w:val="24"/>
          <w:szCs w:val="24"/>
        </w:rPr>
        <w:t xml:space="preserve"> </w:t>
      </w:r>
      <w:r w:rsidR="613F2B80" w:rsidRPr="00771E87">
        <w:rPr>
          <w:rFonts w:cstheme="minorHAnsi"/>
          <w:sz w:val="24"/>
          <w:szCs w:val="24"/>
        </w:rPr>
        <w:t>oraz</w:t>
      </w:r>
      <w:r w:rsidR="28DC21F1" w:rsidRPr="00771E87">
        <w:rPr>
          <w:rFonts w:eastAsia="Calibri" w:cstheme="minorHAnsi"/>
          <w:sz w:val="24"/>
          <w:szCs w:val="24"/>
        </w:rPr>
        <w:t xml:space="preserve"> decyzją wykonawczą Rady z dnia 8 grudnia 2023 r. zmieniającą decyzję wykonawczą Rady UE z dnia 17 czerwca 2022 r. w sprawie zatwierdzenia oceny planu odbudowy i zwiększania odporności Polski</w:t>
      </w:r>
      <w:r w:rsidRPr="00771E87">
        <w:rPr>
          <w:rFonts w:cstheme="minorHAnsi"/>
          <w:sz w:val="24"/>
          <w:szCs w:val="24"/>
        </w:rPr>
        <w:t>;</w:t>
      </w:r>
    </w:p>
    <w:p w14:paraId="0DD2ED81" w14:textId="3BB7481F" w:rsidR="00E02809" w:rsidRPr="00F00B76" w:rsidRDefault="12C98B13" w:rsidP="302726D1">
      <w:pPr>
        <w:numPr>
          <w:ilvl w:val="0"/>
          <w:numId w:val="14"/>
        </w:numPr>
        <w:spacing w:after="120" w:line="360" w:lineRule="auto"/>
        <w:ind w:left="851" w:hanging="425"/>
        <w:rPr>
          <w:sz w:val="24"/>
          <w:szCs w:val="24"/>
        </w:rPr>
      </w:pPr>
      <w:r w:rsidRPr="302726D1">
        <w:rPr>
          <w:sz w:val="24"/>
          <w:szCs w:val="24"/>
        </w:rPr>
        <w:t xml:space="preserve">Rozporządzenia Ministra Funduszy i Polityki Regionalnej z </w:t>
      </w:r>
      <w:r w:rsidRPr="00F00B76">
        <w:rPr>
          <w:sz w:val="24"/>
          <w:szCs w:val="24"/>
        </w:rPr>
        <w:t xml:space="preserve">dnia </w:t>
      </w:r>
      <w:r w:rsidR="45366A67" w:rsidRPr="00F00B76">
        <w:rPr>
          <w:sz w:val="24"/>
          <w:szCs w:val="24"/>
        </w:rPr>
        <w:t xml:space="preserve">23 kwietnia 2024 r. </w:t>
      </w:r>
      <w:r w:rsidRPr="00F00B76">
        <w:rPr>
          <w:sz w:val="24"/>
          <w:szCs w:val="24"/>
        </w:rPr>
        <w:t xml:space="preserve">w sprawie udzielania pomocy de </w:t>
      </w:r>
      <w:proofErr w:type="spellStart"/>
      <w:r w:rsidRPr="00F00B76">
        <w:rPr>
          <w:sz w:val="24"/>
          <w:szCs w:val="24"/>
        </w:rPr>
        <w:t>minimis</w:t>
      </w:r>
      <w:proofErr w:type="spellEnd"/>
      <w:r w:rsidRPr="00F00B76">
        <w:rPr>
          <w:sz w:val="24"/>
          <w:szCs w:val="24"/>
        </w:rPr>
        <w:t xml:space="preserve"> na dywersyfikację działalności </w:t>
      </w:r>
      <w:proofErr w:type="spellStart"/>
      <w:r w:rsidRPr="00F00B76">
        <w:rPr>
          <w:sz w:val="24"/>
          <w:szCs w:val="24"/>
        </w:rPr>
        <w:t>mikroprzedsiębiorców</w:t>
      </w:r>
      <w:proofErr w:type="spellEnd"/>
      <w:r w:rsidRPr="00F00B76">
        <w:rPr>
          <w:sz w:val="24"/>
          <w:szCs w:val="24"/>
        </w:rPr>
        <w:t>, małych lub średnich przedsiębiorców w ramach Krajowego Planu Odbudowy i Zwiększania Odporności (Dz. U. z 202</w:t>
      </w:r>
      <w:r w:rsidR="7AE2722A" w:rsidRPr="00F00B76">
        <w:rPr>
          <w:sz w:val="24"/>
          <w:szCs w:val="24"/>
        </w:rPr>
        <w:t>4</w:t>
      </w:r>
      <w:r w:rsidRPr="00F00B76">
        <w:rPr>
          <w:sz w:val="24"/>
          <w:szCs w:val="24"/>
        </w:rPr>
        <w:t xml:space="preserve"> r. poz. </w:t>
      </w:r>
      <w:r w:rsidR="2161230A" w:rsidRPr="00F00B76">
        <w:rPr>
          <w:sz w:val="24"/>
          <w:szCs w:val="24"/>
        </w:rPr>
        <w:t>687</w:t>
      </w:r>
      <w:r w:rsidRPr="00F00B76">
        <w:rPr>
          <w:sz w:val="24"/>
          <w:szCs w:val="24"/>
        </w:rPr>
        <w:t>);</w:t>
      </w:r>
    </w:p>
    <w:p w14:paraId="7FE61D72" w14:textId="4A8511E2" w:rsidR="4F2DD316" w:rsidRPr="00771E87" w:rsidRDefault="4004D367" w:rsidP="75A0D702">
      <w:pPr>
        <w:numPr>
          <w:ilvl w:val="0"/>
          <w:numId w:val="14"/>
        </w:numPr>
        <w:spacing w:after="120" w:line="360" w:lineRule="auto"/>
        <w:ind w:left="851" w:hanging="425"/>
        <w:rPr>
          <w:rFonts w:eastAsia="Calibri"/>
          <w:sz w:val="24"/>
          <w:szCs w:val="24"/>
        </w:rPr>
      </w:pPr>
      <w:r w:rsidRPr="302726D1">
        <w:rPr>
          <w:sz w:val="24"/>
          <w:szCs w:val="24"/>
        </w:rPr>
        <w:t xml:space="preserve">Rozporządzenia Komisji (UE) 2023/2831 z dnia </w:t>
      </w:r>
      <w:r w:rsidR="5C0D492D" w:rsidRPr="302726D1">
        <w:rPr>
          <w:sz w:val="24"/>
          <w:szCs w:val="24"/>
        </w:rPr>
        <w:t xml:space="preserve">13 grudnia 2023 r. </w:t>
      </w:r>
      <w:r w:rsidR="5C0D492D" w:rsidRPr="302726D1">
        <w:rPr>
          <w:rFonts w:eastAsia="Calibri"/>
          <w:sz w:val="24"/>
          <w:szCs w:val="24"/>
        </w:rPr>
        <w:t xml:space="preserve">w sprawie stosowania art. 107 i 108 Traktatu o funkcjonowaniu Unii Europejskiej do pomocy de </w:t>
      </w:r>
      <w:proofErr w:type="spellStart"/>
      <w:r w:rsidR="5C0D492D" w:rsidRPr="302726D1">
        <w:rPr>
          <w:rFonts w:eastAsia="Calibri"/>
          <w:sz w:val="24"/>
          <w:szCs w:val="24"/>
        </w:rPr>
        <w:t>minimis</w:t>
      </w:r>
      <w:proofErr w:type="spellEnd"/>
      <w:r w:rsidR="71EA7E19" w:rsidRPr="302726D1">
        <w:rPr>
          <w:rFonts w:eastAsia="Calibri"/>
          <w:sz w:val="24"/>
          <w:szCs w:val="24"/>
        </w:rPr>
        <w:t xml:space="preserve"> </w:t>
      </w:r>
      <w:r w:rsidR="7EB3FC8C" w:rsidRPr="302726D1">
        <w:rPr>
          <w:rStyle w:val="markedcontent"/>
          <w:rFonts w:eastAsia="Calibri"/>
          <w:sz w:val="24"/>
          <w:szCs w:val="24"/>
        </w:rPr>
        <w:t>(Dz.U. UE L</w:t>
      </w:r>
      <w:r w:rsidR="46BB6AAD" w:rsidRPr="302726D1">
        <w:rPr>
          <w:rStyle w:val="markedcontent"/>
          <w:rFonts w:eastAsia="Calibri"/>
          <w:sz w:val="24"/>
          <w:szCs w:val="24"/>
        </w:rPr>
        <w:t>.2023</w:t>
      </w:r>
      <w:r w:rsidR="7C43FA98" w:rsidRPr="302726D1">
        <w:rPr>
          <w:rStyle w:val="markedcontent"/>
          <w:rFonts w:eastAsia="Calibri"/>
          <w:sz w:val="24"/>
          <w:szCs w:val="24"/>
        </w:rPr>
        <w:t xml:space="preserve"> z </w:t>
      </w:r>
      <w:r w:rsidR="7EB3FC8C" w:rsidRPr="302726D1">
        <w:rPr>
          <w:rStyle w:val="markedcontent"/>
          <w:rFonts w:eastAsia="Calibri"/>
          <w:sz w:val="24"/>
          <w:szCs w:val="24"/>
        </w:rPr>
        <w:t>15 grudnia 2023 r.)</w:t>
      </w:r>
      <w:r w:rsidR="494F7DCD" w:rsidRPr="302726D1">
        <w:rPr>
          <w:rStyle w:val="markedcontent"/>
          <w:rFonts w:eastAsia="Calibri"/>
          <w:sz w:val="24"/>
          <w:szCs w:val="24"/>
        </w:rPr>
        <w:t>;</w:t>
      </w:r>
    </w:p>
    <w:p w14:paraId="1EC6A9AA" w14:textId="5AF4F859" w:rsidR="00E02809" w:rsidRPr="00771E87" w:rsidRDefault="12C98B13" w:rsidP="004B3A93">
      <w:pPr>
        <w:numPr>
          <w:ilvl w:val="0"/>
          <w:numId w:val="14"/>
        </w:numPr>
        <w:spacing w:after="120" w:line="360" w:lineRule="auto"/>
        <w:ind w:left="851" w:hanging="425"/>
        <w:rPr>
          <w:rFonts w:cstheme="minorHAnsi"/>
          <w:sz w:val="24"/>
          <w:szCs w:val="24"/>
        </w:rPr>
      </w:pPr>
      <w:r w:rsidRPr="302726D1">
        <w:rPr>
          <w:sz w:val="24"/>
          <w:szCs w:val="24"/>
        </w:rPr>
        <w:t>Rozporządzenia Parlamentu Europejskiego i Rady (UE) 2020/852 z dnia 18 czerwca 2020 r. w sprawie ustanowienia ram ułatwiających zrównoważone inwestycje, zmieniające</w:t>
      </w:r>
      <w:r w:rsidR="08084FF0" w:rsidRPr="302726D1">
        <w:rPr>
          <w:sz w:val="24"/>
          <w:szCs w:val="24"/>
        </w:rPr>
        <w:t xml:space="preserve">go </w:t>
      </w:r>
      <w:r w:rsidRPr="302726D1">
        <w:rPr>
          <w:sz w:val="24"/>
          <w:szCs w:val="24"/>
        </w:rPr>
        <w:t>rozporządzenie (UE) 2019/2088;</w:t>
      </w:r>
    </w:p>
    <w:p w14:paraId="4667B2E7" w14:textId="34F0E190" w:rsidR="00E02809" w:rsidRPr="00771E87" w:rsidRDefault="12C98B13" w:rsidP="004B3A93">
      <w:pPr>
        <w:numPr>
          <w:ilvl w:val="0"/>
          <w:numId w:val="14"/>
        </w:numPr>
        <w:spacing w:after="120" w:line="360" w:lineRule="auto"/>
        <w:ind w:left="851" w:hanging="425"/>
        <w:rPr>
          <w:rFonts w:cstheme="minorHAnsi"/>
          <w:sz w:val="24"/>
          <w:szCs w:val="24"/>
        </w:rPr>
      </w:pPr>
      <w:r w:rsidRPr="302726D1">
        <w:rPr>
          <w:sz w:val="24"/>
          <w:szCs w:val="24"/>
        </w:rPr>
        <w:t xml:space="preserve">Ustawy z dnia 6 grudnia 2006 r. o zasadach prowadzenia polityki rozwoju (Dz. U. z </w:t>
      </w:r>
      <w:r w:rsidR="09F7F5A3" w:rsidRPr="302726D1">
        <w:rPr>
          <w:sz w:val="24"/>
          <w:szCs w:val="24"/>
        </w:rPr>
        <w:t xml:space="preserve">2024 </w:t>
      </w:r>
      <w:r w:rsidRPr="302726D1">
        <w:rPr>
          <w:sz w:val="24"/>
          <w:szCs w:val="24"/>
        </w:rPr>
        <w:t xml:space="preserve">r. poz. </w:t>
      </w:r>
      <w:r w:rsidR="7EB3FC8C" w:rsidRPr="302726D1">
        <w:rPr>
          <w:sz w:val="24"/>
          <w:szCs w:val="24"/>
        </w:rPr>
        <w:t>324</w:t>
      </w:r>
      <w:r w:rsidRPr="302726D1">
        <w:rPr>
          <w:sz w:val="24"/>
          <w:szCs w:val="24"/>
        </w:rPr>
        <w:t>);</w:t>
      </w:r>
    </w:p>
    <w:p w14:paraId="3A17A419" w14:textId="19A6CA7F" w:rsidR="00101AF3" w:rsidRPr="00771E87" w:rsidRDefault="12C98B13" w:rsidP="00016F2D">
      <w:pPr>
        <w:numPr>
          <w:ilvl w:val="0"/>
          <w:numId w:val="14"/>
        </w:numPr>
        <w:spacing w:after="120" w:line="360" w:lineRule="auto"/>
        <w:ind w:left="850" w:hanging="425"/>
        <w:rPr>
          <w:rFonts w:cstheme="minorHAnsi"/>
          <w:sz w:val="24"/>
          <w:szCs w:val="24"/>
        </w:rPr>
      </w:pPr>
      <w:r w:rsidRPr="302726D1">
        <w:rPr>
          <w:sz w:val="24"/>
          <w:szCs w:val="24"/>
        </w:rPr>
        <w:t>Ustawy z dnia 27 sierpnia 2009 r. o finansach publicznych (Dz. U. z 202</w:t>
      </w:r>
      <w:r w:rsidR="15376210" w:rsidRPr="302726D1">
        <w:rPr>
          <w:sz w:val="24"/>
          <w:szCs w:val="24"/>
        </w:rPr>
        <w:t>3</w:t>
      </w:r>
      <w:r w:rsidRPr="302726D1">
        <w:rPr>
          <w:sz w:val="24"/>
          <w:szCs w:val="24"/>
        </w:rPr>
        <w:t xml:space="preserve"> r. poz. </w:t>
      </w:r>
      <w:r w:rsidR="15376210" w:rsidRPr="302726D1">
        <w:rPr>
          <w:sz w:val="24"/>
          <w:szCs w:val="24"/>
        </w:rPr>
        <w:t>1270</w:t>
      </w:r>
      <w:r w:rsidRPr="302726D1">
        <w:rPr>
          <w:sz w:val="24"/>
          <w:szCs w:val="24"/>
        </w:rPr>
        <w:t>, z </w:t>
      </w:r>
      <w:proofErr w:type="spellStart"/>
      <w:r w:rsidRPr="302726D1">
        <w:rPr>
          <w:sz w:val="24"/>
          <w:szCs w:val="24"/>
        </w:rPr>
        <w:t>późn</w:t>
      </w:r>
      <w:proofErr w:type="spellEnd"/>
      <w:r w:rsidRPr="302726D1">
        <w:rPr>
          <w:sz w:val="24"/>
          <w:szCs w:val="24"/>
        </w:rPr>
        <w:t>. zm.);</w:t>
      </w:r>
    </w:p>
    <w:p w14:paraId="2ACD0250" w14:textId="77777777" w:rsidR="00E02809" w:rsidRPr="00771E87" w:rsidRDefault="12C98B13" w:rsidP="004B3A93">
      <w:pPr>
        <w:numPr>
          <w:ilvl w:val="0"/>
          <w:numId w:val="14"/>
        </w:numPr>
        <w:spacing w:after="120" w:line="360" w:lineRule="auto"/>
        <w:ind w:left="850" w:hanging="425"/>
        <w:rPr>
          <w:rFonts w:cstheme="minorHAnsi"/>
          <w:sz w:val="24"/>
          <w:szCs w:val="24"/>
        </w:rPr>
      </w:pPr>
      <w:r w:rsidRPr="302726D1">
        <w:rPr>
          <w:sz w:val="24"/>
          <w:szCs w:val="24"/>
        </w:rPr>
        <w:t xml:space="preserve">Rozporządzenia Ministra Funduszy i Polityki Regionalnej z dnia 12 maja 2023 r. w sprawie udzielania przez Polską Agencję Rozwoju Przedsiębiorczości pomocy finansowej na przedsięwzięcia związane z udzielaniem pomocy de </w:t>
      </w:r>
      <w:proofErr w:type="spellStart"/>
      <w:r w:rsidRPr="302726D1">
        <w:rPr>
          <w:sz w:val="24"/>
          <w:szCs w:val="24"/>
        </w:rPr>
        <w:t>minimis</w:t>
      </w:r>
      <w:proofErr w:type="spellEnd"/>
      <w:r w:rsidRPr="302726D1">
        <w:rPr>
          <w:sz w:val="24"/>
          <w:szCs w:val="24"/>
        </w:rPr>
        <w:t xml:space="preserve"> na dywersyfikację działalności </w:t>
      </w:r>
      <w:proofErr w:type="spellStart"/>
      <w:r w:rsidRPr="302726D1">
        <w:rPr>
          <w:sz w:val="24"/>
          <w:szCs w:val="24"/>
        </w:rPr>
        <w:t>mikroprzedsiębiorców</w:t>
      </w:r>
      <w:proofErr w:type="spellEnd"/>
      <w:r w:rsidRPr="302726D1">
        <w:rPr>
          <w:sz w:val="24"/>
          <w:szCs w:val="24"/>
        </w:rPr>
        <w:t>, małych lub średnich przedsiębiorców w ramach Krajowego Planu Odbudowy i Zwiększania Odporności (Dz. U. z 2023 r. poz. 932)</w:t>
      </w:r>
    </w:p>
    <w:p w14:paraId="1627A291" w14:textId="7CFA75A9" w:rsidR="00E02809" w:rsidRPr="00771E87" w:rsidDel="00A105A5" w:rsidRDefault="3B70A000" w:rsidP="04FB455B">
      <w:pPr>
        <w:numPr>
          <w:ilvl w:val="0"/>
          <w:numId w:val="14"/>
        </w:numPr>
        <w:spacing w:after="120" w:line="360" w:lineRule="auto"/>
        <w:ind w:left="850" w:hanging="425"/>
        <w:rPr>
          <w:rFonts w:cstheme="minorHAnsi"/>
          <w:sz w:val="24"/>
          <w:szCs w:val="24"/>
        </w:rPr>
      </w:pPr>
      <w:r w:rsidRPr="302726D1">
        <w:rPr>
          <w:sz w:val="24"/>
          <w:szCs w:val="24"/>
        </w:rPr>
        <w:t>Wytycznych technicznych KE z dnia 18 lutego 2021 r. dotyczących stosowania zasady „nie czyń poważnych szkód” (zasada DNSH) wydanych na podstawie rozporządzenia ustanawiającego Instrument na rzecz Odbudowy i Zwiększania Odporności (2021/C 58/01);</w:t>
      </w:r>
    </w:p>
    <w:p w14:paraId="34DC6C3E" w14:textId="7864509B" w:rsidR="00AC2282" w:rsidRPr="00771E87" w:rsidRDefault="12C98B13" w:rsidP="0052493A">
      <w:pPr>
        <w:numPr>
          <w:ilvl w:val="0"/>
          <w:numId w:val="14"/>
        </w:numPr>
        <w:spacing w:after="480" w:line="360" w:lineRule="auto"/>
        <w:ind w:left="850" w:hanging="425"/>
        <w:rPr>
          <w:rFonts w:cstheme="minorHAnsi"/>
          <w:sz w:val="24"/>
          <w:szCs w:val="24"/>
        </w:rPr>
      </w:pPr>
      <w:r w:rsidRPr="302726D1">
        <w:rPr>
          <w:sz w:val="24"/>
          <w:szCs w:val="24"/>
        </w:rPr>
        <w:lastRenderedPageBreak/>
        <w:t>Dokument</w:t>
      </w:r>
      <w:r w:rsidR="15376210" w:rsidRPr="302726D1">
        <w:rPr>
          <w:sz w:val="24"/>
          <w:szCs w:val="24"/>
        </w:rPr>
        <w:t>u</w:t>
      </w:r>
      <w:r w:rsidRPr="302726D1">
        <w:rPr>
          <w:sz w:val="24"/>
          <w:szCs w:val="24"/>
        </w:rPr>
        <w:t>: Zgodność przedsięwzięć finansowanych ze środków Unii Europejskiej, w tym realizowanych w ramach Krajowego Planu Odbudowy i Zwiększania Odporności, z zasadą „nie czyń znaczącej szkody” - zasadą DNSH. Podręcznik dla beneficjentów</w:t>
      </w:r>
      <w:r w:rsidR="707E9957" w:rsidRPr="302726D1">
        <w:rPr>
          <w:sz w:val="24"/>
          <w:szCs w:val="24"/>
        </w:rPr>
        <w:t xml:space="preserve">: </w:t>
      </w:r>
      <w:hyperlink r:id="rId15">
        <w:r w:rsidR="3612F2AE" w:rsidRPr="302726D1">
          <w:rPr>
            <w:rStyle w:val="Hipercze"/>
            <w:sz w:val="24"/>
            <w:szCs w:val="24"/>
          </w:rPr>
          <w:t>https://www.gov.pl/attachment/d4009314-f558-46ce-9619-9d047cf92e0d</w:t>
        </w:r>
      </w:hyperlink>
      <w:r w:rsidR="6F431273" w:rsidRPr="302726D1">
        <w:t>.</w:t>
      </w:r>
    </w:p>
    <w:p w14:paraId="22E113F4" w14:textId="02464A80" w:rsidR="00AC2282" w:rsidRPr="00771E87" w:rsidRDefault="0056778E" w:rsidP="0052493A">
      <w:pPr>
        <w:pStyle w:val="NCBR2Nagowek"/>
        <w:spacing w:after="360"/>
        <w:rPr>
          <w:rFonts w:asciiTheme="minorHAnsi" w:hAnsiTheme="minorHAnsi" w:cstheme="minorHAnsi"/>
          <w:bCs/>
        </w:rPr>
      </w:pPr>
      <w:bookmarkStart w:id="116" w:name="_Toc162526835"/>
      <w:r w:rsidRPr="00771E87">
        <w:rPr>
          <w:rFonts w:asciiTheme="minorHAnsi" w:hAnsiTheme="minorHAnsi" w:cstheme="minorHAnsi"/>
          <w:bCs/>
        </w:rPr>
        <w:t>10. Lista załączników do Przewodnika kwalifikowalności</w:t>
      </w:r>
      <w:bookmarkEnd w:id="116"/>
    </w:p>
    <w:p w14:paraId="7C79307D" w14:textId="157031D5" w:rsidR="00E02809" w:rsidRPr="0052493A" w:rsidRDefault="00973631" w:rsidP="0052493A">
      <w:pPr>
        <w:spacing w:after="120" w:line="360" w:lineRule="auto"/>
        <w:rPr>
          <w:rFonts w:cstheme="minorHAnsi"/>
          <w:sz w:val="24"/>
          <w:szCs w:val="24"/>
        </w:rPr>
      </w:pPr>
      <w:r w:rsidRPr="00771E87">
        <w:rPr>
          <w:rFonts w:cstheme="minorHAnsi"/>
          <w:sz w:val="24"/>
          <w:szCs w:val="24"/>
        </w:rPr>
        <w:t xml:space="preserve">Załącznik nr 1 - </w:t>
      </w:r>
      <w:r w:rsidR="0056778E" w:rsidRPr="00771E87">
        <w:rPr>
          <w:rFonts w:cstheme="minorHAnsi"/>
          <w:sz w:val="24"/>
          <w:szCs w:val="24"/>
        </w:rPr>
        <w:t>Wzór opisu dokumentu księgowego</w:t>
      </w:r>
      <w:r w:rsidR="00214B8E" w:rsidRPr="00771E87">
        <w:rPr>
          <w:rFonts w:cstheme="minorHAnsi"/>
          <w:sz w:val="24"/>
          <w:szCs w:val="24"/>
        </w:rPr>
        <w:t>.</w:t>
      </w:r>
    </w:p>
    <w:sectPr w:rsidR="00E02809" w:rsidRPr="0052493A" w:rsidSect="003B6507">
      <w:pgSz w:w="11906" w:h="16838"/>
      <w:pgMar w:top="1701" w:right="1134" w:bottom="1134" w:left="1134" w:header="284"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3411A00" w16cex:dateUtc="2024-06-06T07:52:00Z"/>
  <w16cex:commentExtensible w16cex:durableId="2A0C594B" w16cex:dateUtc="2024-06-06T13:50:00Z"/>
  <w16cex:commentExtensible w16cex:durableId="2A16BEB7" w16cex:dateUtc="2024-06-14T11:05:00Z"/>
  <w16cex:commentExtensible w16cex:durableId="5E6E5C3F" w16cex:dateUtc="2024-06-06T08:15:00Z"/>
  <w16cex:commentExtensible w16cex:durableId="2A98C53A" w16cex:dateUtc="2024-06-06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5091" w14:textId="77777777" w:rsidR="00AE033A" w:rsidRDefault="00AE033A" w:rsidP="00E72802">
      <w:pPr>
        <w:spacing w:after="0" w:line="240" w:lineRule="auto"/>
      </w:pPr>
      <w:r>
        <w:separator/>
      </w:r>
    </w:p>
  </w:endnote>
  <w:endnote w:type="continuationSeparator" w:id="0">
    <w:p w14:paraId="646E83EE" w14:textId="77777777" w:rsidR="00AE033A" w:rsidRDefault="00AE033A" w:rsidP="00E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8926" w14:textId="02CA787C" w:rsidR="00020940" w:rsidRDefault="00020940">
    <w:pPr>
      <w:pStyle w:val="Stopka"/>
      <w:jc w:val="right"/>
    </w:pPr>
  </w:p>
  <w:p w14:paraId="44082E40" w14:textId="7290F642" w:rsidR="00020940" w:rsidRDefault="00020940" w:rsidP="00F95D29">
    <w:pPr>
      <w:pStyle w:val="Stopka"/>
      <w:jc w:val="right"/>
    </w:pPr>
    <w:r>
      <w:rPr>
        <w:noProof/>
      </w:rPr>
      <mc:AlternateContent>
        <mc:Choice Requires="wps">
          <w:drawing>
            <wp:anchor distT="0" distB="0" distL="114300" distR="114300" simplePos="0" relativeHeight="251659264" behindDoc="0" locked="0" layoutInCell="0" allowOverlap="1" wp14:anchorId="787C7DA5" wp14:editId="4493BB9B">
              <wp:simplePos x="0" y="0"/>
              <wp:positionH relativeFrom="page">
                <wp:posOffset>0</wp:posOffset>
              </wp:positionH>
              <wp:positionV relativeFrom="page">
                <wp:posOffset>10227945</wp:posOffset>
              </wp:positionV>
              <wp:extent cx="7560310" cy="273050"/>
              <wp:effectExtent l="0" t="0" r="0" b="0"/>
              <wp:wrapNone/>
              <wp:docPr id="120625085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8236C61" w14:textId="77777777" w:rsidR="00020940" w:rsidRPr="005B2ABE" w:rsidRDefault="00020940" w:rsidP="00F95D29">
                          <w:pPr>
                            <w:spacing w:after="0"/>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7C7DA5" id="_x0000_t202" coordsize="21600,21600" o:spt="202" path="m,l,21600r21600,l21600,xe">
              <v:stroke joinstyle="miter"/>
              <v:path gradientshapeok="t" o:connecttype="rect"/>
            </v:shapetype>
            <v:shape id="Pole tekstowe 1" o:spid="_x0000_s1026" type="#_x0000_t202"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1Hg6vj0CAABwBAAADgAA&#10;AAAAAAAAAAAAAAAuAgAAZHJzL2Uyb0RvYy54bWxQSwECLQAUAAYACAAAACEAn9VB7N8AAAALAQAA&#10;DwAAAAAAAAAAAAAAAACXBAAAZHJzL2Rvd25yZXYueG1sUEsFBgAAAAAEAAQA8wAAAKMFAAAAAA==&#10;" o:allowincell="f" filled="f" stroked="f" strokeweight=".5pt">
              <v:textbox inset=",0,,0">
                <w:txbxContent>
                  <w:p w14:paraId="48236C61" w14:textId="77777777" w:rsidR="00020940" w:rsidRPr="005B2ABE" w:rsidRDefault="00020940" w:rsidP="00F95D29">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90C9" w14:textId="77777777" w:rsidR="00AE033A" w:rsidRDefault="00AE033A" w:rsidP="00E72802">
      <w:pPr>
        <w:spacing w:after="0" w:line="240" w:lineRule="auto"/>
      </w:pPr>
      <w:r>
        <w:separator/>
      </w:r>
    </w:p>
  </w:footnote>
  <w:footnote w:type="continuationSeparator" w:id="0">
    <w:p w14:paraId="1311D7F9" w14:textId="77777777" w:rsidR="00AE033A" w:rsidRDefault="00AE033A" w:rsidP="00E72802">
      <w:pPr>
        <w:spacing w:after="0" w:line="240" w:lineRule="auto"/>
      </w:pPr>
      <w:r>
        <w:continuationSeparator/>
      </w:r>
    </w:p>
  </w:footnote>
  <w:footnote w:id="1">
    <w:p w14:paraId="53770F19" w14:textId="339D9362" w:rsidR="00020940" w:rsidRDefault="00020940">
      <w:pPr>
        <w:pStyle w:val="Tekstprzypisudolnego"/>
      </w:pPr>
      <w:r>
        <w:rPr>
          <w:rStyle w:val="Odwoanieprzypisudolnego"/>
        </w:rPr>
        <w:footnoteRef/>
      </w:r>
      <w:r>
        <w:t xml:space="preserve"> </w:t>
      </w:r>
      <w:r w:rsidRPr="008C1401">
        <w:rPr>
          <w:sz w:val="22"/>
        </w:rPr>
        <w:t>Szczegółowe informacje w zakresie przepisów prawa i zasad znajdują się na końcu Przewodnika.</w:t>
      </w:r>
    </w:p>
  </w:footnote>
  <w:footnote w:id="2">
    <w:p w14:paraId="3680EF92" w14:textId="77777777" w:rsidR="00020940" w:rsidRPr="008C1401" w:rsidRDefault="00020940">
      <w:pPr>
        <w:pStyle w:val="Tekstprzypisudolnego"/>
        <w:rPr>
          <w:sz w:val="22"/>
        </w:rPr>
      </w:pPr>
      <w:r w:rsidRPr="008C1401">
        <w:rPr>
          <w:rStyle w:val="Odwoanieprzypisudolnego"/>
          <w:sz w:val="22"/>
        </w:rPr>
        <w:footnoteRef/>
      </w:r>
      <w:r w:rsidRPr="008C1401">
        <w:rPr>
          <w:sz w:val="22"/>
        </w:rPr>
        <w:t xml:space="preserve"> „Jedno przedsiębiorstwo” oznacza wszystkie jednostki gospodarcze, które pozostają w co najmniej jednym z następujących stosunków:</w:t>
      </w:r>
    </w:p>
    <w:p w14:paraId="7DBFF481" w14:textId="113EEFC4" w:rsidR="00020940" w:rsidRPr="008C1401" w:rsidRDefault="00020940">
      <w:pPr>
        <w:pStyle w:val="Tekstprzypisudolnego"/>
        <w:rPr>
          <w:sz w:val="22"/>
        </w:rPr>
      </w:pPr>
      <w:r w:rsidRPr="008C1401">
        <w:rPr>
          <w:sz w:val="22"/>
        </w:rPr>
        <w:t>1) jedna jednostka gospodarcza posiada w drugiej jednostce gospodarczej większość prawa głosu akcjonariuszy lub wspólników;</w:t>
      </w:r>
    </w:p>
    <w:p w14:paraId="590C06E8" w14:textId="11BC6061" w:rsidR="00020940" w:rsidRPr="008C1401" w:rsidRDefault="00020940">
      <w:pPr>
        <w:pStyle w:val="Tekstprzypisudolnego"/>
        <w:rPr>
          <w:sz w:val="22"/>
        </w:rPr>
      </w:pPr>
      <w:r w:rsidRPr="008C1401">
        <w:rPr>
          <w:sz w:val="22"/>
        </w:rPr>
        <w:t>2) jedna jednostka gospodarcza ma prawo wyznaczyć lub odwołać większość członków organu administracyjnego, zarządzającego lub nadzorującego innej jednostki gospodarczej;</w:t>
      </w:r>
    </w:p>
    <w:p w14:paraId="0D50624B" w14:textId="69BAF20E" w:rsidR="00020940" w:rsidRPr="008C1401" w:rsidRDefault="00020940">
      <w:pPr>
        <w:pStyle w:val="Tekstprzypisudolnego"/>
        <w:rPr>
          <w:sz w:val="22"/>
        </w:rPr>
      </w:pPr>
      <w:r w:rsidRPr="008C1401">
        <w:rPr>
          <w:sz w:val="22"/>
        </w:rPr>
        <w:t>3) jedna jednostka gospodarcza ma prawo wywierać dominujący wpływ na inną jednostkę gospodarczą zgodnie z umową zawartą z tą jednostką lub postanowieniami w jej akcie założycielskim lub umowie spółki;</w:t>
      </w:r>
    </w:p>
    <w:p w14:paraId="2714E111" w14:textId="4F2E6E83" w:rsidR="00020940" w:rsidRDefault="00020940">
      <w:pPr>
        <w:pStyle w:val="Tekstprzypisudolnego"/>
      </w:pPr>
      <w:r w:rsidRPr="008C1401">
        <w:rPr>
          <w:sz w:val="22"/>
        </w:rPr>
        <w:t xml:space="preserve">4) jedna jednostka gospodarcza, która jest akcjonariuszem lub wspólnikiem w innej jednostce gospodarczej, samodzielnie kontroluje, zgodnie z porozumieniem z innymi akcjonariuszami lub wspólnikami tej jednostki, większość praw głosu akcjonariuszy lub wspólników tej jednostki. </w:t>
      </w:r>
    </w:p>
  </w:footnote>
  <w:footnote w:id="3">
    <w:p w14:paraId="27472954" w14:textId="43A7E076" w:rsidR="00020940" w:rsidRDefault="00020940">
      <w:pPr>
        <w:pStyle w:val="Tekstprzypisudolnego"/>
      </w:pPr>
      <w:r w:rsidRPr="008C1401">
        <w:rPr>
          <w:rStyle w:val="Odwoanieprzypisudolnego"/>
          <w:sz w:val="24"/>
          <w:szCs w:val="22"/>
        </w:rPr>
        <w:footnoteRef/>
      </w:r>
      <w:r w:rsidRPr="008C1401">
        <w:rPr>
          <w:sz w:val="24"/>
          <w:szCs w:val="22"/>
        </w:rPr>
        <w:t xml:space="preserve"> </w:t>
      </w:r>
      <w:r w:rsidRPr="008C1401">
        <w:rPr>
          <w:sz w:val="22"/>
        </w:rPr>
        <w:t>Wkład własny to wydatki kwalifikowalne MŚP, które nie zostaną pokryte ze środków wypłaconego wsparcia w ramach Inwestycji A1.2.1, wyrażony w procentach w stosunku do łącznej wartości wydatków kwalifikowalnych w ramach przedsięwzięcia MŚP.</w:t>
      </w:r>
    </w:p>
  </w:footnote>
  <w:footnote w:id="4">
    <w:p w14:paraId="6187195B" w14:textId="2B1FEAA1" w:rsidR="00020940" w:rsidRPr="004123D3" w:rsidRDefault="00020940">
      <w:pPr>
        <w:pStyle w:val="Tekstprzypisudolnego"/>
      </w:pPr>
      <w:r w:rsidRPr="008C1401">
        <w:rPr>
          <w:rStyle w:val="Odwoanieprzypisudolnego"/>
          <w:sz w:val="22"/>
        </w:rPr>
        <w:footnoteRef/>
      </w:r>
      <w:r w:rsidRPr="008C1401">
        <w:rPr>
          <w:sz w:val="22"/>
        </w:rPr>
        <w:t xml:space="preserve"> Na poziomie regionalnym dostępna jest szeroka oferta pożyczkowa dla MŚP. Pożyczki te są finansowane albo ze źródeł unijnych, na przykład te które są udzielane w ramach regionalnych programów na lata 2021-2027, albo krajowych, na przykład te które znajdują się w ofercie regionalnych funduszy rozwoju. Pożyczki ze środków krajowych znajdujących się w ofercie regionalnych funduszy rozwoju mogą być wykorzystywane na prefinansowanie dotacji unijnych, nie naruszając zakazu podwójnego finansowania wydatków w</w:t>
      </w:r>
      <w:r>
        <w:rPr>
          <w:sz w:val="22"/>
        </w:rPr>
        <w:t> </w:t>
      </w:r>
      <w:r w:rsidRPr="008C1401">
        <w:rPr>
          <w:sz w:val="22"/>
        </w:rPr>
        <w:t xml:space="preserve">rozumieniu przepisów unijnych. MŚP, które planuje skorzystać z oferty pożyczek dostępnych na poziomie regionalnym zobowiązane jest upewnić się co do źródła finansowania danej pożyczki, tzn. może być to pożyczka finansowana wyłącznie ze środków mających status krajowy a nie unijny. Taka pożyczka musi również zakładać spłatę kapitału w całości, nie może zawierać możliwości uzyskania przez pożyczkobiorcę częściowego umorzenia kapitału. </w:t>
      </w:r>
    </w:p>
  </w:footnote>
  <w:footnote w:id="5">
    <w:p w14:paraId="557BAD6D" w14:textId="77777777" w:rsidR="00020940" w:rsidRPr="00C36B3E" w:rsidRDefault="00020940" w:rsidP="008A2D82">
      <w:pPr>
        <w:pStyle w:val="Tekstprzypisudolnego"/>
      </w:pPr>
      <w:r w:rsidRPr="008C1401">
        <w:rPr>
          <w:rStyle w:val="Odwoanieprzypisudolnego"/>
          <w:sz w:val="22"/>
        </w:rPr>
        <w:footnoteRef/>
      </w:r>
      <w:r w:rsidRPr="008C1401">
        <w:rPr>
          <w:sz w:val="22"/>
        </w:rPr>
        <w:t xml:space="preserve"> Należą do nich zamawiający publiczni, sektorowi oraz subsydiowani, o których mowa w art. 4-6 </w:t>
      </w:r>
      <w:proofErr w:type="spellStart"/>
      <w:r w:rsidRPr="008C1401">
        <w:rPr>
          <w:sz w:val="22"/>
        </w:rPr>
        <w:t>Pzp</w:t>
      </w:r>
      <w:proofErr w:type="spellEnd"/>
      <w:r w:rsidRPr="008C1401">
        <w:rPr>
          <w:sz w:val="22"/>
        </w:rPr>
        <w:t xml:space="preserve">. </w:t>
      </w:r>
    </w:p>
  </w:footnote>
  <w:footnote w:id="6">
    <w:p w14:paraId="422C4559" w14:textId="17CA0735" w:rsidR="00020940" w:rsidRDefault="00020940">
      <w:pPr>
        <w:pStyle w:val="Tekstprzypisudolnego"/>
      </w:pPr>
      <w:r w:rsidRPr="002773B7">
        <w:rPr>
          <w:rStyle w:val="Odwoanieprzypisudolnego"/>
        </w:rPr>
        <w:footnoteRef/>
      </w:r>
      <w:r w:rsidRPr="002773B7">
        <w:t xml:space="preserve"> </w:t>
      </w:r>
      <w:r w:rsidRPr="00C3305A">
        <w:t>Wytyczne techniczne Komisji Europejskiej z dnia 18 lutego 2021 r. dotyczące stosowania zasady „nie czyń poważnych szkód” na podstawie rozporządzenia ustanawiającego Instrument na rzecz Odbudowy i Zwiększania Odporności (2021/C 58/01)</w:t>
      </w:r>
    </w:p>
  </w:footnote>
  <w:footnote w:id="7">
    <w:p w14:paraId="54BEBBB4" w14:textId="6A3FBA2E" w:rsidR="004F4AEE" w:rsidRPr="009F1882" w:rsidRDefault="004F4AEE" w:rsidP="009F1882">
      <w:pPr>
        <w:rPr>
          <w:rFonts w:cs="Noto Sans"/>
          <w:color w:val="333333"/>
          <w:sz w:val="20"/>
          <w:szCs w:val="20"/>
        </w:rPr>
      </w:pPr>
      <w:r w:rsidRPr="009F1882">
        <w:rPr>
          <w:rStyle w:val="Odwoanieprzypisudolnego"/>
          <w:sz w:val="20"/>
          <w:szCs w:val="20"/>
        </w:rPr>
        <w:footnoteRef/>
      </w:r>
      <w:r w:rsidRPr="009F1882">
        <w:rPr>
          <w:sz w:val="20"/>
          <w:szCs w:val="20"/>
        </w:rPr>
        <w:t xml:space="preserve"> Zgodnie z art. 2 pkt. 10</w:t>
      </w:r>
      <w:r w:rsidR="00695986">
        <w:rPr>
          <w:sz w:val="20"/>
          <w:szCs w:val="20"/>
        </w:rPr>
        <w:t xml:space="preserve">2 g GBER </w:t>
      </w:r>
      <w:r w:rsidR="00695986">
        <w:rPr>
          <w:rFonts w:cs="Noto Sans"/>
          <w:color w:val="333333"/>
          <w:sz w:val="20"/>
          <w:szCs w:val="20"/>
          <w:shd w:val="clear" w:color="auto" w:fill="FFFFFF"/>
        </w:rPr>
        <w:t>„</w:t>
      </w:r>
      <w:r w:rsidRPr="009F1882">
        <w:rPr>
          <w:rFonts w:cs="Noto Sans"/>
          <w:color w:val="333333"/>
          <w:sz w:val="20"/>
          <w:szCs w:val="20"/>
          <w:shd w:val="clear" w:color="auto" w:fill="FFFFFF"/>
        </w:rPr>
        <w:t xml:space="preserve">pojazd </w:t>
      </w:r>
      <w:proofErr w:type="spellStart"/>
      <w:r w:rsidRPr="009F1882">
        <w:rPr>
          <w:rFonts w:cs="Noto Sans"/>
          <w:color w:val="333333"/>
          <w:sz w:val="20"/>
          <w:szCs w:val="20"/>
          <w:shd w:val="clear" w:color="auto" w:fill="FFFFFF"/>
        </w:rPr>
        <w:t>bezemisyjny</w:t>
      </w:r>
      <w:proofErr w:type="spellEnd"/>
      <w:r w:rsidR="00695986">
        <w:rPr>
          <w:rFonts w:cs="Noto Sans"/>
          <w:color w:val="333333"/>
          <w:sz w:val="20"/>
          <w:szCs w:val="20"/>
          <w:shd w:val="clear" w:color="auto" w:fill="FFFFFF"/>
        </w:rPr>
        <w:t>”</w:t>
      </w:r>
      <w:r w:rsidRPr="009F1882">
        <w:rPr>
          <w:rFonts w:cs="Noto Sans"/>
          <w:color w:val="333333"/>
          <w:sz w:val="20"/>
          <w:szCs w:val="20"/>
          <w:shd w:val="clear" w:color="auto" w:fill="FFFFFF"/>
        </w:rPr>
        <w:t xml:space="preserve"> oznacza:</w:t>
      </w:r>
      <w:r w:rsidRPr="009F1882">
        <w:rPr>
          <w:rFonts w:cs="Noto Sans"/>
          <w:color w:val="333333"/>
          <w:sz w:val="20"/>
          <w:szCs w:val="20"/>
          <w:shd w:val="clear" w:color="auto" w:fill="FFFFFF"/>
        </w:rPr>
        <w:br/>
      </w:r>
      <w:r w:rsidRPr="009F1882">
        <w:rPr>
          <w:rFonts w:cs="Noto Sans"/>
          <w:color w:val="333333"/>
          <w:sz w:val="20"/>
          <w:szCs w:val="20"/>
        </w:rPr>
        <w:t>a) w przypadku pojazdów dwu- i trzykołowych oraz czterokołowców: pojazd objęty zakresem rozporządzenia Parlamentu Europejskiego i Rady (UE) nr 168/2013</w:t>
      </w:r>
      <w:hyperlink r:id="rId1" w:history="1">
        <w:r w:rsidRPr="009F1882">
          <w:rPr>
            <w:rStyle w:val="Hipercze"/>
            <w:rFonts w:cs="Noto Sans"/>
            <w:color w:val="CC0000"/>
            <w:sz w:val="20"/>
            <w:szCs w:val="20"/>
            <w:vertAlign w:val="superscript"/>
          </w:rPr>
          <w:t>122)</w:t>
        </w:r>
      </w:hyperlink>
      <w:r w:rsidRPr="009F1882">
        <w:rPr>
          <w:rFonts w:cs="Noto Sans"/>
          <w:color w:val="333333"/>
          <w:sz w:val="20"/>
          <w:szCs w:val="20"/>
        </w:rPr>
        <w:t> o zerowej emisji CO</w:t>
      </w:r>
      <w:r w:rsidRPr="009F1882">
        <w:rPr>
          <w:rFonts w:cs="Noto Sans"/>
          <w:color w:val="333333"/>
          <w:sz w:val="20"/>
          <w:szCs w:val="20"/>
          <w:vertAlign w:val="subscript"/>
        </w:rPr>
        <w:t>2</w:t>
      </w:r>
      <w:r w:rsidRPr="009F1882">
        <w:rPr>
          <w:rFonts w:cs="Noto Sans"/>
          <w:color w:val="333333"/>
          <w:sz w:val="20"/>
          <w:szCs w:val="20"/>
        </w:rPr>
        <w:t> w spalinach, obliczonej zgodnie z</w:t>
      </w:r>
      <w:r w:rsidR="00F00B76">
        <w:rPr>
          <w:rFonts w:cs="Noto Sans"/>
          <w:color w:val="333333"/>
          <w:sz w:val="20"/>
          <w:szCs w:val="20"/>
        </w:rPr>
        <w:t> </w:t>
      </w:r>
      <w:r w:rsidRPr="009F1882">
        <w:rPr>
          <w:rFonts w:cs="Noto Sans"/>
          <w:color w:val="333333"/>
          <w:sz w:val="20"/>
          <w:szCs w:val="20"/>
        </w:rPr>
        <w:t xml:space="preserve">wymogami określonymi w art. 24 tego rozporządzenia i załączniku V do tego rozporządzenia; </w:t>
      </w:r>
      <w:r w:rsidRPr="009F1882">
        <w:rPr>
          <w:rFonts w:cs="Noto Sans"/>
          <w:color w:val="333333"/>
          <w:sz w:val="20"/>
          <w:szCs w:val="20"/>
        </w:rPr>
        <w:br/>
        <w:t>b) w przypadku lekkich pojazdów drogowych: pojazd kategorii M1, M2 lub N1 mający zerową emisję CO</w:t>
      </w:r>
      <w:r w:rsidRPr="009F1882">
        <w:rPr>
          <w:rFonts w:cs="Noto Sans"/>
          <w:color w:val="333333"/>
          <w:sz w:val="20"/>
          <w:szCs w:val="20"/>
          <w:vertAlign w:val="subscript"/>
        </w:rPr>
        <w:t>2</w:t>
      </w:r>
      <w:r w:rsidRPr="009F1882">
        <w:rPr>
          <w:rFonts w:cs="Noto Sans"/>
          <w:color w:val="333333"/>
          <w:sz w:val="20"/>
          <w:szCs w:val="20"/>
        </w:rPr>
        <w:t> w spalinach, ustaloną zgodnie z wymogami określonymi w rozporządzeniu Komisji (UE) 2017/1151</w:t>
      </w:r>
      <w:hyperlink r:id="rId2" w:history="1">
        <w:r w:rsidRPr="009F1882">
          <w:rPr>
            <w:rStyle w:val="Hipercze"/>
            <w:rFonts w:cs="Noto Sans"/>
            <w:color w:val="CC0000"/>
            <w:sz w:val="20"/>
            <w:szCs w:val="20"/>
            <w:vertAlign w:val="superscript"/>
          </w:rPr>
          <w:t>123)</w:t>
        </w:r>
      </w:hyperlink>
      <w:r w:rsidRPr="009F1882">
        <w:rPr>
          <w:rFonts w:cs="Noto Sans"/>
          <w:color w:val="333333"/>
          <w:sz w:val="20"/>
          <w:szCs w:val="20"/>
        </w:rPr>
        <w:t>;</w:t>
      </w:r>
      <w:r w:rsidRPr="009F1882">
        <w:rPr>
          <w:rFonts w:cs="Noto Sans"/>
          <w:color w:val="333333"/>
          <w:sz w:val="20"/>
          <w:szCs w:val="20"/>
        </w:rPr>
        <w:br/>
        <w:t>c) w przypadku ciężkich pojazdów drogowych: zeroemisyjny pojazd ciężki zdefiniowany w art. 4 pkt 5 dyrektywy 2009/33/WE</w:t>
      </w:r>
      <w:r w:rsidR="006B2751">
        <w:rPr>
          <w:rFonts w:cs="Noto Sans"/>
          <w:color w:val="333333"/>
          <w:sz w:val="20"/>
          <w:szCs w:val="20"/>
        </w:rPr>
        <w:t>.</w:t>
      </w:r>
    </w:p>
    <w:p w14:paraId="516CC3D4" w14:textId="3433B98A" w:rsidR="004F4AEE" w:rsidRDefault="004F4AEE">
      <w:pPr>
        <w:pStyle w:val="Tekstprzypisudolnego"/>
      </w:pPr>
    </w:p>
  </w:footnote>
  <w:footnote w:id="8">
    <w:p w14:paraId="4B2031EC" w14:textId="747E9D1F" w:rsidR="00020940" w:rsidRPr="008C1401" w:rsidRDefault="00020940" w:rsidP="00C87735">
      <w:pPr>
        <w:pStyle w:val="Tekstprzypisudolnego"/>
        <w:rPr>
          <w:sz w:val="22"/>
        </w:rPr>
      </w:pPr>
      <w:r w:rsidRPr="00096144">
        <w:rPr>
          <w:rStyle w:val="Odwoanieprzypisudolnego"/>
        </w:rPr>
        <w:footnoteRef/>
      </w:r>
      <w:r w:rsidRPr="00096144">
        <w:t xml:space="preserve"> </w:t>
      </w:r>
      <w:r w:rsidRPr="008C1401">
        <w:rPr>
          <w:sz w:val="22"/>
        </w:rPr>
        <w:t>Takie raporty obejmują wszystkie usługi świadczone na poziomie danego odbiorcy.</w:t>
      </w:r>
    </w:p>
  </w:footnote>
  <w:footnote w:id="9">
    <w:p w14:paraId="2D280AB8" w14:textId="6F593630" w:rsidR="00020940" w:rsidRPr="00C36B3E" w:rsidRDefault="00020940" w:rsidP="00C87735">
      <w:pPr>
        <w:pStyle w:val="Tekstprzypisudolnego"/>
        <w:rPr>
          <w:sz w:val="22"/>
          <w:szCs w:val="22"/>
        </w:rPr>
      </w:pPr>
      <w:r w:rsidRPr="008C1401">
        <w:rPr>
          <w:rStyle w:val="Odwoanieprzypisudolnego"/>
          <w:sz w:val="22"/>
        </w:rPr>
        <w:footnoteRef/>
      </w:r>
      <w:r w:rsidRPr="008C1401">
        <w:rPr>
          <w:sz w:val="22"/>
        </w:rPr>
        <w:t xml:space="preserve"> </w:t>
      </w:r>
      <w:r w:rsidRPr="008C1401">
        <w:rPr>
          <w:rFonts w:cstheme="minorHAnsi"/>
          <w:sz w:val="22"/>
        </w:rPr>
        <w:t>Takie zaświadczenia lub raporty obejmują wszystkie szkolenia przeprowadzone na poziomie odbiorcy i</w:t>
      </w:r>
      <w:r>
        <w:rPr>
          <w:rFonts w:cstheme="minorHAnsi"/>
          <w:sz w:val="22"/>
        </w:rPr>
        <w:t> </w:t>
      </w:r>
      <w:r w:rsidRPr="008C1401">
        <w:rPr>
          <w:rFonts w:cstheme="minorHAnsi"/>
          <w:sz w:val="22"/>
        </w:rPr>
        <w:t>potwierdzają ukończenie szkolenia (-eń) przez pracowników.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750037"/>
      <w:docPartObj>
        <w:docPartGallery w:val="Page Numbers (Top of Page)"/>
        <w:docPartUnique/>
      </w:docPartObj>
    </w:sdtPr>
    <w:sdtEndPr/>
    <w:sdtContent>
      <w:p w14:paraId="2254C8AE" w14:textId="39C220B7" w:rsidR="00020940" w:rsidRDefault="00020940" w:rsidP="008C1401">
        <w:pPr>
          <w:pStyle w:val="Nagwek"/>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D2C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10DB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A06BF"/>
    <w:multiLevelType w:val="multilevel"/>
    <w:tmpl w:val="0F2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3F7625"/>
    <w:multiLevelType w:val="hybridMultilevel"/>
    <w:tmpl w:val="867CD528"/>
    <w:lvl w:ilvl="0" w:tplc="BCDCB4E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308A0"/>
    <w:multiLevelType w:val="hybridMultilevel"/>
    <w:tmpl w:val="067AF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34D21"/>
    <w:multiLevelType w:val="hybridMultilevel"/>
    <w:tmpl w:val="588A271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949D8CC"/>
    <w:multiLevelType w:val="hybridMultilevel"/>
    <w:tmpl w:val="303498C8"/>
    <w:lvl w:ilvl="0" w:tplc="A722666C">
      <w:start w:val="1"/>
      <w:numFmt w:val="decimal"/>
      <w:lvlText w:val="%1)"/>
      <w:lvlJc w:val="left"/>
      <w:pPr>
        <w:ind w:left="720" w:hanging="360"/>
      </w:pPr>
    </w:lvl>
    <w:lvl w:ilvl="1" w:tplc="D9C04D9C">
      <w:start w:val="1"/>
      <w:numFmt w:val="lowerLetter"/>
      <w:lvlText w:val="%2."/>
      <w:lvlJc w:val="left"/>
      <w:pPr>
        <w:ind w:left="1440" w:hanging="360"/>
      </w:pPr>
    </w:lvl>
    <w:lvl w:ilvl="2" w:tplc="D1A64D34">
      <w:start w:val="1"/>
      <w:numFmt w:val="lowerRoman"/>
      <w:lvlText w:val="%3."/>
      <w:lvlJc w:val="right"/>
      <w:pPr>
        <w:ind w:left="2160" w:hanging="180"/>
      </w:pPr>
    </w:lvl>
    <w:lvl w:ilvl="3" w:tplc="4F2A4CEA">
      <w:start w:val="1"/>
      <w:numFmt w:val="decimal"/>
      <w:lvlText w:val="%4."/>
      <w:lvlJc w:val="left"/>
      <w:pPr>
        <w:ind w:left="2880" w:hanging="360"/>
      </w:pPr>
    </w:lvl>
    <w:lvl w:ilvl="4" w:tplc="1D6051D4">
      <w:start w:val="1"/>
      <w:numFmt w:val="lowerLetter"/>
      <w:lvlText w:val="%5."/>
      <w:lvlJc w:val="left"/>
      <w:pPr>
        <w:ind w:left="3600" w:hanging="360"/>
      </w:pPr>
    </w:lvl>
    <w:lvl w:ilvl="5" w:tplc="CCDCBD1C">
      <w:start w:val="1"/>
      <w:numFmt w:val="lowerRoman"/>
      <w:lvlText w:val="%6."/>
      <w:lvlJc w:val="right"/>
      <w:pPr>
        <w:ind w:left="4320" w:hanging="180"/>
      </w:pPr>
    </w:lvl>
    <w:lvl w:ilvl="6" w:tplc="76181312">
      <w:start w:val="1"/>
      <w:numFmt w:val="decimal"/>
      <w:lvlText w:val="%7."/>
      <w:lvlJc w:val="left"/>
      <w:pPr>
        <w:ind w:left="5040" w:hanging="360"/>
      </w:pPr>
    </w:lvl>
    <w:lvl w:ilvl="7" w:tplc="D6C83982">
      <w:start w:val="1"/>
      <w:numFmt w:val="lowerLetter"/>
      <w:lvlText w:val="%8."/>
      <w:lvlJc w:val="left"/>
      <w:pPr>
        <w:ind w:left="5760" w:hanging="360"/>
      </w:pPr>
    </w:lvl>
    <w:lvl w:ilvl="8" w:tplc="A5BCAA64">
      <w:start w:val="1"/>
      <w:numFmt w:val="lowerRoman"/>
      <w:lvlText w:val="%9."/>
      <w:lvlJc w:val="right"/>
      <w:pPr>
        <w:ind w:left="6480" w:hanging="180"/>
      </w:pPr>
    </w:lvl>
  </w:abstractNum>
  <w:abstractNum w:abstractNumId="7" w15:restartNumberingAfterBreak="0">
    <w:nsid w:val="0D5A5E20"/>
    <w:multiLevelType w:val="hybridMultilevel"/>
    <w:tmpl w:val="6258219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709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2B0CDE"/>
    <w:multiLevelType w:val="hybridMultilevel"/>
    <w:tmpl w:val="ECD2D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F8ACA"/>
    <w:multiLevelType w:val="hybridMultilevel"/>
    <w:tmpl w:val="DF8EFE14"/>
    <w:lvl w:ilvl="0" w:tplc="07E67A08">
      <w:start w:val="1"/>
      <w:numFmt w:val="bullet"/>
      <w:lvlText w:val="-"/>
      <w:lvlJc w:val="left"/>
      <w:pPr>
        <w:ind w:left="720" w:hanging="360"/>
      </w:pPr>
      <w:rPr>
        <w:rFonts w:ascii="Calibri" w:hAnsi="Calibri" w:hint="default"/>
      </w:rPr>
    </w:lvl>
    <w:lvl w:ilvl="1" w:tplc="2960CAC8">
      <w:start w:val="1"/>
      <w:numFmt w:val="bullet"/>
      <w:lvlText w:val="o"/>
      <w:lvlJc w:val="left"/>
      <w:pPr>
        <w:ind w:left="1440" w:hanging="360"/>
      </w:pPr>
      <w:rPr>
        <w:rFonts w:ascii="Courier New" w:hAnsi="Courier New" w:hint="default"/>
      </w:rPr>
    </w:lvl>
    <w:lvl w:ilvl="2" w:tplc="FA2C24EC">
      <w:start w:val="1"/>
      <w:numFmt w:val="bullet"/>
      <w:lvlText w:val=""/>
      <w:lvlJc w:val="left"/>
      <w:pPr>
        <w:ind w:left="2160" w:hanging="360"/>
      </w:pPr>
      <w:rPr>
        <w:rFonts w:ascii="Wingdings" w:hAnsi="Wingdings" w:hint="default"/>
      </w:rPr>
    </w:lvl>
    <w:lvl w:ilvl="3" w:tplc="B2F25EB0">
      <w:start w:val="1"/>
      <w:numFmt w:val="bullet"/>
      <w:lvlText w:val=""/>
      <w:lvlJc w:val="left"/>
      <w:pPr>
        <w:ind w:left="2880" w:hanging="360"/>
      </w:pPr>
      <w:rPr>
        <w:rFonts w:ascii="Symbol" w:hAnsi="Symbol" w:hint="default"/>
      </w:rPr>
    </w:lvl>
    <w:lvl w:ilvl="4" w:tplc="0334379C">
      <w:start w:val="1"/>
      <w:numFmt w:val="bullet"/>
      <w:lvlText w:val="o"/>
      <w:lvlJc w:val="left"/>
      <w:pPr>
        <w:ind w:left="3600" w:hanging="360"/>
      </w:pPr>
      <w:rPr>
        <w:rFonts w:ascii="Courier New" w:hAnsi="Courier New" w:hint="default"/>
      </w:rPr>
    </w:lvl>
    <w:lvl w:ilvl="5" w:tplc="BCC08E46">
      <w:start w:val="1"/>
      <w:numFmt w:val="bullet"/>
      <w:lvlText w:val=""/>
      <w:lvlJc w:val="left"/>
      <w:pPr>
        <w:ind w:left="4320" w:hanging="360"/>
      </w:pPr>
      <w:rPr>
        <w:rFonts w:ascii="Wingdings" w:hAnsi="Wingdings" w:hint="default"/>
      </w:rPr>
    </w:lvl>
    <w:lvl w:ilvl="6" w:tplc="8C8693D2">
      <w:start w:val="1"/>
      <w:numFmt w:val="bullet"/>
      <w:lvlText w:val=""/>
      <w:lvlJc w:val="left"/>
      <w:pPr>
        <w:ind w:left="5040" w:hanging="360"/>
      </w:pPr>
      <w:rPr>
        <w:rFonts w:ascii="Symbol" w:hAnsi="Symbol" w:hint="default"/>
      </w:rPr>
    </w:lvl>
    <w:lvl w:ilvl="7" w:tplc="4558B5C6">
      <w:start w:val="1"/>
      <w:numFmt w:val="bullet"/>
      <w:lvlText w:val="o"/>
      <w:lvlJc w:val="left"/>
      <w:pPr>
        <w:ind w:left="5760" w:hanging="360"/>
      </w:pPr>
      <w:rPr>
        <w:rFonts w:ascii="Courier New" w:hAnsi="Courier New" w:hint="default"/>
      </w:rPr>
    </w:lvl>
    <w:lvl w:ilvl="8" w:tplc="22FED1EA">
      <w:start w:val="1"/>
      <w:numFmt w:val="bullet"/>
      <w:lvlText w:val=""/>
      <w:lvlJc w:val="left"/>
      <w:pPr>
        <w:ind w:left="6480" w:hanging="360"/>
      </w:pPr>
      <w:rPr>
        <w:rFonts w:ascii="Wingdings" w:hAnsi="Wingdings" w:hint="default"/>
      </w:rPr>
    </w:lvl>
  </w:abstractNum>
  <w:abstractNum w:abstractNumId="11" w15:restartNumberingAfterBreak="0">
    <w:nsid w:val="12E51952"/>
    <w:multiLevelType w:val="hybridMultilevel"/>
    <w:tmpl w:val="E75E8EAA"/>
    <w:lvl w:ilvl="0" w:tplc="6C1497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414C8F"/>
    <w:multiLevelType w:val="multilevel"/>
    <w:tmpl w:val="A3AEF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5E3E8F"/>
    <w:multiLevelType w:val="hybridMultilevel"/>
    <w:tmpl w:val="889AFA36"/>
    <w:lvl w:ilvl="0" w:tplc="04150017">
      <w:start w:val="1"/>
      <w:numFmt w:val="lowerLetter"/>
      <w:lvlText w:val="%1)"/>
      <w:lvlJc w:val="left"/>
      <w:pPr>
        <w:ind w:left="1965" w:hanging="360"/>
      </w:p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4" w15:restartNumberingAfterBreak="0">
    <w:nsid w:val="14511776"/>
    <w:multiLevelType w:val="hybridMultilevel"/>
    <w:tmpl w:val="96162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D3B42"/>
    <w:multiLevelType w:val="multilevel"/>
    <w:tmpl w:val="481CD564"/>
    <w:lvl w:ilvl="0">
      <w:start w:val="1"/>
      <w:numFmt w:val="decimal"/>
      <w:lvlText w:val="%1)"/>
      <w:lvlJc w:val="left"/>
      <w:pPr>
        <w:ind w:left="643"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6FF6F83"/>
    <w:multiLevelType w:val="hybridMultilevel"/>
    <w:tmpl w:val="74882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72265D"/>
    <w:multiLevelType w:val="hybridMultilevel"/>
    <w:tmpl w:val="E6283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670B2"/>
    <w:multiLevelType w:val="hybridMultilevel"/>
    <w:tmpl w:val="359C1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E25175"/>
    <w:multiLevelType w:val="hybridMultilevel"/>
    <w:tmpl w:val="15D6FEE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614166"/>
    <w:multiLevelType w:val="hybridMultilevel"/>
    <w:tmpl w:val="643CC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960222"/>
    <w:multiLevelType w:val="hybridMultilevel"/>
    <w:tmpl w:val="2B4A0B02"/>
    <w:lvl w:ilvl="0" w:tplc="A57650C6">
      <w:start w:val="1"/>
      <w:numFmt w:val="lowerLetter"/>
      <w:lvlText w:val="%1)"/>
      <w:lvlJc w:val="left"/>
      <w:pPr>
        <w:ind w:left="1145" w:hanging="360"/>
      </w:pPr>
      <w:rPr>
        <w:rFonts w:cstheme="minorBidi" w:hint="default"/>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C2854C0"/>
    <w:multiLevelType w:val="hybridMultilevel"/>
    <w:tmpl w:val="780AA7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A688576">
      <w:start w:val="2"/>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70940C"/>
    <w:multiLevelType w:val="hybridMultilevel"/>
    <w:tmpl w:val="9B4C411E"/>
    <w:lvl w:ilvl="0" w:tplc="9DF8A5DC">
      <w:start w:val="1"/>
      <w:numFmt w:val="decimal"/>
      <w:lvlText w:val="%1)"/>
      <w:lvlJc w:val="left"/>
      <w:pPr>
        <w:ind w:left="720" w:hanging="360"/>
      </w:pPr>
    </w:lvl>
    <w:lvl w:ilvl="1" w:tplc="9586994E">
      <w:start w:val="1"/>
      <w:numFmt w:val="lowerLetter"/>
      <w:lvlText w:val="%2."/>
      <w:lvlJc w:val="left"/>
      <w:pPr>
        <w:ind w:left="1440" w:hanging="360"/>
      </w:pPr>
    </w:lvl>
    <w:lvl w:ilvl="2" w:tplc="E0722F26">
      <w:start w:val="1"/>
      <w:numFmt w:val="lowerRoman"/>
      <w:lvlText w:val="%3."/>
      <w:lvlJc w:val="right"/>
      <w:pPr>
        <w:ind w:left="2160" w:hanging="180"/>
      </w:pPr>
    </w:lvl>
    <w:lvl w:ilvl="3" w:tplc="2B7CA1C8">
      <w:start w:val="1"/>
      <w:numFmt w:val="decimal"/>
      <w:lvlText w:val="%4."/>
      <w:lvlJc w:val="left"/>
      <w:pPr>
        <w:ind w:left="2880" w:hanging="360"/>
      </w:pPr>
    </w:lvl>
    <w:lvl w:ilvl="4" w:tplc="01DEFD30">
      <w:start w:val="1"/>
      <w:numFmt w:val="lowerLetter"/>
      <w:lvlText w:val="%5."/>
      <w:lvlJc w:val="left"/>
      <w:pPr>
        <w:ind w:left="3600" w:hanging="360"/>
      </w:pPr>
    </w:lvl>
    <w:lvl w:ilvl="5" w:tplc="CB4CB91E">
      <w:start w:val="1"/>
      <w:numFmt w:val="lowerRoman"/>
      <w:lvlText w:val="%6."/>
      <w:lvlJc w:val="right"/>
      <w:pPr>
        <w:ind w:left="4320" w:hanging="180"/>
      </w:pPr>
    </w:lvl>
    <w:lvl w:ilvl="6" w:tplc="575270EA">
      <w:start w:val="1"/>
      <w:numFmt w:val="decimal"/>
      <w:lvlText w:val="%7."/>
      <w:lvlJc w:val="left"/>
      <w:pPr>
        <w:ind w:left="5040" w:hanging="360"/>
      </w:pPr>
    </w:lvl>
    <w:lvl w:ilvl="7" w:tplc="532E96C0">
      <w:start w:val="1"/>
      <w:numFmt w:val="lowerLetter"/>
      <w:lvlText w:val="%8."/>
      <w:lvlJc w:val="left"/>
      <w:pPr>
        <w:ind w:left="5760" w:hanging="360"/>
      </w:pPr>
    </w:lvl>
    <w:lvl w:ilvl="8" w:tplc="C4708C12">
      <w:start w:val="1"/>
      <w:numFmt w:val="lowerRoman"/>
      <w:lvlText w:val="%9."/>
      <w:lvlJc w:val="right"/>
      <w:pPr>
        <w:ind w:left="6480" w:hanging="180"/>
      </w:pPr>
    </w:lvl>
  </w:abstractNum>
  <w:abstractNum w:abstractNumId="24" w15:restartNumberingAfterBreak="0">
    <w:nsid w:val="1C9D606E"/>
    <w:multiLevelType w:val="hybridMultilevel"/>
    <w:tmpl w:val="DB340D22"/>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D8C2F32"/>
    <w:multiLevelType w:val="hybridMultilevel"/>
    <w:tmpl w:val="85A69AE4"/>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20336F7D"/>
    <w:multiLevelType w:val="hybridMultilevel"/>
    <w:tmpl w:val="DB340D22"/>
    <w:lvl w:ilvl="0" w:tplc="F0F4825A">
      <w:start w:val="1"/>
      <w:numFmt w:val="decimal"/>
      <w:lvlText w:val="%1)"/>
      <w:lvlJc w:val="left"/>
      <w:pPr>
        <w:ind w:left="1068" w:hanging="360"/>
      </w:pPr>
      <w:rPr>
        <w:rFonts w:hint="default"/>
      </w:rPr>
    </w:lvl>
    <w:lvl w:ilvl="1" w:tplc="4ECC75B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AA4326"/>
    <w:multiLevelType w:val="hybridMultilevel"/>
    <w:tmpl w:val="9CE6B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433E90"/>
    <w:multiLevelType w:val="multilevel"/>
    <w:tmpl w:val="0415001D"/>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5F689B"/>
    <w:multiLevelType w:val="hybridMultilevel"/>
    <w:tmpl w:val="888268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64679"/>
    <w:multiLevelType w:val="hybridMultilevel"/>
    <w:tmpl w:val="F16C6704"/>
    <w:lvl w:ilvl="0" w:tplc="5FA0D24A">
      <w:start w:val="18"/>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21B97B48"/>
    <w:multiLevelType w:val="hybridMultilevel"/>
    <w:tmpl w:val="B862F6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3F767E5"/>
    <w:multiLevelType w:val="hybridMultilevel"/>
    <w:tmpl w:val="F16435C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5155FDD"/>
    <w:multiLevelType w:val="hybridMultilevel"/>
    <w:tmpl w:val="D4D8E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E7382"/>
    <w:multiLevelType w:val="hybridMultilevel"/>
    <w:tmpl w:val="4770EF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97B1BE0"/>
    <w:multiLevelType w:val="hybridMultilevel"/>
    <w:tmpl w:val="25C202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98C1BAB"/>
    <w:multiLevelType w:val="hybridMultilevel"/>
    <w:tmpl w:val="5D6EA4B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9A728B6"/>
    <w:multiLevelType w:val="multilevel"/>
    <w:tmpl w:val="234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A73543"/>
    <w:multiLevelType w:val="hybridMultilevel"/>
    <w:tmpl w:val="21F2A41C"/>
    <w:lvl w:ilvl="0" w:tplc="D814076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2C0BC9"/>
    <w:multiLevelType w:val="hybridMultilevel"/>
    <w:tmpl w:val="BDFA9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4710E6"/>
    <w:multiLevelType w:val="multilevel"/>
    <w:tmpl w:val="814E2CA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536FD4"/>
    <w:multiLevelType w:val="multilevel"/>
    <w:tmpl w:val="51F2189A"/>
    <w:lvl w:ilvl="0">
      <w:start w:val="1"/>
      <w:numFmt w:val="decimal"/>
      <w:lvlText w:val="%1."/>
      <w:lvlJc w:val="left"/>
      <w:pPr>
        <w:ind w:left="360" w:hanging="360"/>
      </w:pPr>
      <w:rPr>
        <w:b w:val="0"/>
        <w:i w:val="0"/>
        <w:sz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D2A6E11"/>
    <w:multiLevelType w:val="hybridMultilevel"/>
    <w:tmpl w:val="841EE5B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080B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0B2537D"/>
    <w:multiLevelType w:val="hybridMultilevel"/>
    <w:tmpl w:val="7BF85BB4"/>
    <w:lvl w:ilvl="0" w:tplc="AED25490">
      <w:start w:val="1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30C51F5D"/>
    <w:multiLevelType w:val="hybridMultilevel"/>
    <w:tmpl w:val="DA92B7A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5D7A9E"/>
    <w:multiLevelType w:val="hybridMultilevel"/>
    <w:tmpl w:val="AED6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61C2E1"/>
    <w:multiLevelType w:val="hybridMultilevel"/>
    <w:tmpl w:val="BDE47B3E"/>
    <w:lvl w:ilvl="0" w:tplc="58B22F5E">
      <w:start w:val="1"/>
      <w:numFmt w:val="bullet"/>
      <w:lvlText w:val="-"/>
      <w:lvlJc w:val="left"/>
      <w:pPr>
        <w:ind w:left="720" w:hanging="360"/>
      </w:pPr>
      <w:rPr>
        <w:rFonts w:ascii="Calibri" w:hAnsi="Calibri" w:hint="default"/>
      </w:rPr>
    </w:lvl>
    <w:lvl w:ilvl="1" w:tplc="AE0ED4B8">
      <w:start w:val="1"/>
      <w:numFmt w:val="bullet"/>
      <w:lvlText w:val="o"/>
      <w:lvlJc w:val="left"/>
      <w:pPr>
        <w:ind w:left="1440" w:hanging="360"/>
      </w:pPr>
      <w:rPr>
        <w:rFonts w:ascii="Courier New" w:hAnsi="Courier New" w:hint="default"/>
      </w:rPr>
    </w:lvl>
    <w:lvl w:ilvl="2" w:tplc="3348A81E">
      <w:start w:val="1"/>
      <w:numFmt w:val="bullet"/>
      <w:lvlText w:val=""/>
      <w:lvlJc w:val="left"/>
      <w:pPr>
        <w:ind w:left="2160" w:hanging="360"/>
      </w:pPr>
      <w:rPr>
        <w:rFonts w:ascii="Wingdings" w:hAnsi="Wingdings" w:hint="default"/>
      </w:rPr>
    </w:lvl>
    <w:lvl w:ilvl="3" w:tplc="2B2827E8">
      <w:start w:val="1"/>
      <w:numFmt w:val="bullet"/>
      <w:lvlText w:val=""/>
      <w:lvlJc w:val="left"/>
      <w:pPr>
        <w:ind w:left="2880" w:hanging="360"/>
      </w:pPr>
      <w:rPr>
        <w:rFonts w:ascii="Symbol" w:hAnsi="Symbol" w:hint="default"/>
      </w:rPr>
    </w:lvl>
    <w:lvl w:ilvl="4" w:tplc="3D0446C8">
      <w:start w:val="1"/>
      <w:numFmt w:val="bullet"/>
      <w:lvlText w:val="o"/>
      <w:lvlJc w:val="left"/>
      <w:pPr>
        <w:ind w:left="3600" w:hanging="360"/>
      </w:pPr>
      <w:rPr>
        <w:rFonts w:ascii="Courier New" w:hAnsi="Courier New" w:hint="default"/>
      </w:rPr>
    </w:lvl>
    <w:lvl w:ilvl="5" w:tplc="CA302594">
      <w:start w:val="1"/>
      <w:numFmt w:val="bullet"/>
      <w:lvlText w:val=""/>
      <w:lvlJc w:val="left"/>
      <w:pPr>
        <w:ind w:left="4320" w:hanging="360"/>
      </w:pPr>
      <w:rPr>
        <w:rFonts w:ascii="Wingdings" w:hAnsi="Wingdings" w:hint="default"/>
      </w:rPr>
    </w:lvl>
    <w:lvl w:ilvl="6" w:tplc="FB92BC62">
      <w:start w:val="1"/>
      <w:numFmt w:val="bullet"/>
      <w:lvlText w:val=""/>
      <w:lvlJc w:val="left"/>
      <w:pPr>
        <w:ind w:left="5040" w:hanging="360"/>
      </w:pPr>
      <w:rPr>
        <w:rFonts w:ascii="Symbol" w:hAnsi="Symbol" w:hint="default"/>
      </w:rPr>
    </w:lvl>
    <w:lvl w:ilvl="7" w:tplc="6B04F26C">
      <w:start w:val="1"/>
      <w:numFmt w:val="bullet"/>
      <w:lvlText w:val="o"/>
      <w:lvlJc w:val="left"/>
      <w:pPr>
        <w:ind w:left="5760" w:hanging="360"/>
      </w:pPr>
      <w:rPr>
        <w:rFonts w:ascii="Courier New" w:hAnsi="Courier New" w:hint="default"/>
      </w:rPr>
    </w:lvl>
    <w:lvl w:ilvl="8" w:tplc="AA32E73A">
      <w:start w:val="1"/>
      <w:numFmt w:val="bullet"/>
      <w:lvlText w:val=""/>
      <w:lvlJc w:val="left"/>
      <w:pPr>
        <w:ind w:left="6480" w:hanging="360"/>
      </w:pPr>
      <w:rPr>
        <w:rFonts w:ascii="Wingdings" w:hAnsi="Wingdings" w:hint="default"/>
      </w:rPr>
    </w:lvl>
  </w:abstractNum>
  <w:abstractNum w:abstractNumId="48" w15:restartNumberingAfterBreak="0">
    <w:nsid w:val="3276229B"/>
    <w:multiLevelType w:val="hybridMultilevel"/>
    <w:tmpl w:val="9260ED68"/>
    <w:lvl w:ilvl="0" w:tplc="04150017">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9" w15:restartNumberingAfterBreak="0">
    <w:nsid w:val="32DC59DF"/>
    <w:multiLevelType w:val="hybridMultilevel"/>
    <w:tmpl w:val="259AF9B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306324E"/>
    <w:multiLevelType w:val="hybridMultilevel"/>
    <w:tmpl w:val="B78ACD94"/>
    <w:lvl w:ilvl="0" w:tplc="3B2A3FA8">
      <w:start w:val="1"/>
      <w:numFmt w:val="decimal"/>
      <w:lvlText w:val="%1."/>
      <w:lvlJc w:val="left"/>
      <w:pPr>
        <w:ind w:left="720" w:hanging="360"/>
      </w:pPr>
    </w:lvl>
    <w:lvl w:ilvl="1" w:tplc="A176AB4C">
      <w:start w:val="1"/>
      <w:numFmt w:val="lowerLetter"/>
      <w:lvlText w:val="%2."/>
      <w:lvlJc w:val="left"/>
      <w:pPr>
        <w:ind w:left="1440" w:hanging="360"/>
      </w:pPr>
    </w:lvl>
    <w:lvl w:ilvl="2" w:tplc="01D246EE">
      <w:start w:val="1"/>
      <w:numFmt w:val="lowerLetter"/>
      <w:lvlText w:val="%3)"/>
      <w:lvlJc w:val="left"/>
      <w:pPr>
        <w:ind w:left="2160" w:hanging="180"/>
      </w:pPr>
    </w:lvl>
    <w:lvl w:ilvl="3" w:tplc="9DE83E46">
      <w:start w:val="1"/>
      <w:numFmt w:val="decimal"/>
      <w:lvlText w:val="%4."/>
      <w:lvlJc w:val="left"/>
      <w:pPr>
        <w:ind w:left="2880" w:hanging="360"/>
      </w:pPr>
    </w:lvl>
    <w:lvl w:ilvl="4" w:tplc="5FDAB1D4">
      <w:start w:val="1"/>
      <w:numFmt w:val="lowerLetter"/>
      <w:lvlText w:val="%5."/>
      <w:lvlJc w:val="left"/>
      <w:pPr>
        <w:ind w:left="3600" w:hanging="360"/>
      </w:pPr>
    </w:lvl>
    <w:lvl w:ilvl="5" w:tplc="BA2A6196">
      <w:start w:val="1"/>
      <w:numFmt w:val="lowerRoman"/>
      <w:lvlText w:val="%6."/>
      <w:lvlJc w:val="right"/>
      <w:pPr>
        <w:ind w:left="4320" w:hanging="180"/>
      </w:pPr>
    </w:lvl>
    <w:lvl w:ilvl="6" w:tplc="45B22C86">
      <w:start w:val="1"/>
      <w:numFmt w:val="decimal"/>
      <w:lvlText w:val="%7."/>
      <w:lvlJc w:val="left"/>
      <w:pPr>
        <w:ind w:left="5040" w:hanging="360"/>
      </w:pPr>
    </w:lvl>
    <w:lvl w:ilvl="7" w:tplc="6660E40C">
      <w:start w:val="1"/>
      <w:numFmt w:val="lowerLetter"/>
      <w:lvlText w:val="%8."/>
      <w:lvlJc w:val="left"/>
      <w:pPr>
        <w:ind w:left="5760" w:hanging="360"/>
      </w:pPr>
    </w:lvl>
    <w:lvl w:ilvl="8" w:tplc="31ACEC88">
      <w:start w:val="1"/>
      <w:numFmt w:val="lowerRoman"/>
      <w:lvlText w:val="%9."/>
      <w:lvlJc w:val="right"/>
      <w:pPr>
        <w:ind w:left="6480" w:hanging="180"/>
      </w:pPr>
    </w:lvl>
  </w:abstractNum>
  <w:abstractNum w:abstractNumId="51" w15:restartNumberingAfterBreak="0">
    <w:nsid w:val="35413AFE"/>
    <w:multiLevelType w:val="hybridMultilevel"/>
    <w:tmpl w:val="E0C80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4D5921"/>
    <w:multiLevelType w:val="hybridMultilevel"/>
    <w:tmpl w:val="C346E83C"/>
    <w:lvl w:ilvl="0" w:tplc="F2263A9C">
      <w:start w:val="1"/>
      <w:numFmt w:val="decimal"/>
      <w:lvlText w:val="%1."/>
      <w:lvlJc w:val="left"/>
      <w:pPr>
        <w:ind w:left="720" w:hanging="360"/>
      </w:pPr>
    </w:lvl>
    <w:lvl w:ilvl="1" w:tplc="06368CBE">
      <w:start w:val="1"/>
      <w:numFmt w:val="lowerLetter"/>
      <w:lvlText w:val="%2."/>
      <w:lvlJc w:val="left"/>
      <w:pPr>
        <w:ind w:left="1440" w:hanging="360"/>
      </w:pPr>
    </w:lvl>
    <w:lvl w:ilvl="2" w:tplc="F0D6C504">
      <w:start w:val="1"/>
      <w:numFmt w:val="lowerLetter"/>
      <w:lvlText w:val="%3)"/>
      <w:lvlJc w:val="left"/>
      <w:pPr>
        <w:ind w:left="2160" w:hanging="180"/>
      </w:pPr>
    </w:lvl>
    <w:lvl w:ilvl="3" w:tplc="AC027482">
      <w:start w:val="1"/>
      <w:numFmt w:val="decimal"/>
      <w:lvlText w:val="%4."/>
      <w:lvlJc w:val="left"/>
      <w:pPr>
        <w:ind w:left="2880" w:hanging="360"/>
      </w:pPr>
    </w:lvl>
    <w:lvl w:ilvl="4" w:tplc="12EA05A8">
      <w:start w:val="1"/>
      <w:numFmt w:val="lowerLetter"/>
      <w:lvlText w:val="%5."/>
      <w:lvlJc w:val="left"/>
      <w:pPr>
        <w:ind w:left="3600" w:hanging="360"/>
      </w:pPr>
    </w:lvl>
    <w:lvl w:ilvl="5" w:tplc="66BCD482">
      <w:start w:val="1"/>
      <w:numFmt w:val="lowerRoman"/>
      <w:lvlText w:val="%6."/>
      <w:lvlJc w:val="right"/>
      <w:pPr>
        <w:ind w:left="4320" w:hanging="180"/>
      </w:pPr>
    </w:lvl>
    <w:lvl w:ilvl="6" w:tplc="08E225F2">
      <w:start w:val="1"/>
      <w:numFmt w:val="decimal"/>
      <w:lvlText w:val="%7."/>
      <w:lvlJc w:val="left"/>
      <w:pPr>
        <w:ind w:left="5040" w:hanging="360"/>
      </w:pPr>
    </w:lvl>
    <w:lvl w:ilvl="7" w:tplc="1398F432">
      <w:start w:val="1"/>
      <w:numFmt w:val="lowerLetter"/>
      <w:lvlText w:val="%8."/>
      <w:lvlJc w:val="left"/>
      <w:pPr>
        <w:ind w:left="5760" w:hanging="360"/>
      </w:pPr>
    </w:lvl>
    <w:lvl w:ilvl="8" w:tplc="D004A82A">
      <w:start w:val="1"/>
      <w:numFmt w:val="lowerRoman"/>
      <w:lvlText w:val="%9."/>
      <w:lvlJc w:val="right"/>
      <w:pPr>
        <w:ind w:left="6480" w:hanging="180"/>
      </w:pPr>
    </w:lvl>
  </w:abstractNum>
  <w:abstractNum w:abstractNumId="53" w15:restartNumberingAfterBreak="0">
    <w:nsid w:val="3632583E"/>
    <w:multiLevelType w:val="multilevel"/>
    <w:tmpl w:val="237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8611696"/>
    <w:multiLevelType w:val="hybridMultilevel"/>
    <w:tmpl w:val="E54C5A9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8D39FA"/>
    <w:multiLevelType w:val="hybridMultilevel"/>
    <w:tmpl w:val="CEAE8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7D0922"/>
    <w:multiLevelType w:val="hybridMultilevel"/>
    <w:tmpl w:val="037E707A"/>
    <w:lvl w:ilvl="0" w:tplc="1ED654A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3FAE3E71"/>
    <w:multiLevelType w:val="hybridMultilevel"/>
    <w:tmpl w:val="3D1A5E38"/>
    <w:lvl w:ilvl="0" w:tplc="992CB2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2B7DE3"/>
    <w:multiLevelType w:val="hybridMultilevel"/>
    <w:tmpl w:val="60120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F643F7"/>
    <w:multiLevelType w:val="multilevel"/>
    <w:tmpl w:val="2C8C585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5EE08DA"/>
    <w:multiLevelType w:val="multilevel"/>
    <w:tmpl w:val="41A010E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5F03EA8"/>
    <w:multiLevelType w:val="multilevel"/>
    <w:tmpl w:val="2C8C585C"/>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5FB6E1A"/>
    <w:multiLevelType w:val="multilevel"/>
    <w:tmpl w:val="355C56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B997F53"/>
    <w:multiLevelType w:val="hybridMultilevel"/>
    <w:tmpl w:val="B692AD8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4C104457"/>
    <w:multiLevelType w:val="hybridMultilevel"/>
    <w:tmpl w:val="F196A7B6"/>
    <w:lvl w:ilvl="0" w:tplc="F872D442">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2B51DE"/>
    <w:multiLevelType w:val="hybridMultilevel"/>
    <w:tmpl w:val="F7E0D9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542DD6"/>
    <w:multiLevelType w:val="multilevel"/>
    <w:tmpl w:val="6BB8EB00"/>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FCB7743"/>
    <w:multiLevelType w:val="hybridMultilevel"/>
    <w:tmpl w:val="D46E14C6"/>
    <w:lvl w:ilvl="0" w:tplc="D304D88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FFC3316"/>
    <w:multiLevelType w:val="multilevel"/>
    <w:tmpl w:val="13866380"/>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F75726"/>
    <w:multiLevelType w:val="hybridMultilevel"/>
    <w:tmpl w:val="453C9DC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6C6040"/>
    <w:multiLevelType w:val="hybridMultilevel"/>
    <w:tmpl w:val="A1D011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569F54AA"/>
    <w:multiLevelType w:val="multilevel"/>
    <w:tmpl w:val="364A35FA"/>
    <w:lvl w:ilvl="0">
      <w:start w:val="2"/>
      <w:numFmt w:val="decimal"/>
      <w:pStyle w:val="Nagwek1"/>
      <w:lvlText w:val="%1"/>
      <w:lvlJc w:val="left"/>
      <w:pPr>
        <w:ind w:left="432" w:hanging="432"/>
      </w:pPr>
      <w:rPr>
        <w:rFonts w:hint="default"/>
        <w:b w:val="0"/>
        <w:bCs w:val="0"/>
        <w:color w:val="2F5496" w:themeColor="accent1" w:themeShade="BF"/>
        <w:sz w:val="28"/>
        <w:szCs w:val="28"/>
      </w:rPr>
    </w:lvl>
    <w:lvl w:ilvl="1">
      <w:start w:val="4"/>
      <w:numFmt w:val="decimal"/>
      <w:pStyle w:val="Nagwek2"/>
      <w:lvlText w:val="%1.%2"/>
      <w:lvlJc w:val="left"/>
      <w:pPr>
        <w:ind w:left="576" w:hanging="576"/>
      </w:pPr>
      <w:rPr>
        <w:rFonts w:hint="default"/>
      </w:rPr>
    </w:lvl>
    <w:lvl w:ilvl="2">
      <w:start w:val="1"/>
      <w:numFmt w:val="decimal"/>
      <w:pStyle w:val="Nagwek3"/>
      <w:lvlText w:val="%1.%2.%3"/>
      <w:lvlJc w:val="left"/>
      <w:pPr>
        <w:ind w:left="1004"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2" w15:restartNumberingAfterBreak="0">
    <w:nsid w:val="57F52A18"/>
    <w:multiLevelType w:val="hybridMultilevel"/>
    <w:tmpl w:val="41C233D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58A16EB8"/>
    <w:multiLevelType w:val="hybridMultilevel"/>
    <w:tmpl w:val="A004455C"/>
    <w:lvl w:ilvl="0" w:tplc="0415001B">
      <w:start w:val="1"/>
      <w:numFmt w:val="low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4" w15:restartNumberingAfterBreak="0">
    <w:nsid w:val="58A877A1"/>
    <w:multiLevelType w:val="hybridMultilevel"/>
    <w:tmpl w:val="7D3C0D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592A3520"/>
    <w:multiLevelType w:val="hybridMultilevel"/>
    <w:tmpl w:val="45D0A6BE"/>
    <w:lvl w:ilvl="0" w:tplc="5958F8B4">
      <w:start w:val="1"/>
      <w:numFmt w:val="lowerLetter"/>
      <w:lvlText w:val="%1)"/>
      <w:lvlJc w:val="left"/>
      <w:pPr>
        <w:ind w:left="720" w:hanging="360"/>
      </w:pPr>
    </w:lvl>
    <w:lvl w:ilvl="1" w:tplc="DD48B210">
      <w:start w:val="1"/>
      <w:numFmt w:val="lowerLetter"/>
      <w:lvlText w:val="%2."/>
      <w:lvlJc w:val="left"/>
      <w:pPr>
        <w:ind w:left="1440" w:hanging="360"/>
      </w:pPr>
    </w:lvl>
    <w:lvl w:ilvl="2" w:tplc="88DA8CD0">
      <w:start w:val="1"/>
      <w:numFmt w:val="lowerRoman"/>
      <w:lvlText w:val="%3."/>
      <w:lvlJc w:val="right"/>
      <w:pPr>
        <w:ind w:left="2160" w:hanging="180"/>
      </w:pPr>
    </w:lvl>
    <w:lvl w:ilvl="3" w:tplc="9ECA54AA">
      <w:start w:val="1"/>
      <w:numFmt w:val="decimal"/>
      <w:lvlText w:val="%4."/>
      <w:lvlJc w:val="left"/>
      <w:pPr>
        <w:ind w:left="2880" w:hanging="360"/>
      </w:pPr>
    </w:lvl>
    <w:lvl w:ilvl="4" w:tplc="6968388E">
      <w:start w:val="1"/>
      <w:numFmt w:val="lowerLetter"/>
      <w:lvlText w:val="%5."/>
      <w:lvlJc w:val="left"/>
      <w:pPr>
        <w:ind w:left="3600" w:hanging="360"/>
      </w:pPr>
    </w:lvl>
    <w:lvl w:ilvl="5" w:tplc="249A6BFA">
      <w:start w:val="1"/>
      <w:numFmt w:val="lowerRoman"/>
      <w:lvlText w:val="%6."/>
      <w:lvlJc w:val="right"/>
      <w:pPr>
        <w:ind w:left="4320" w:hanging="180"/>
      </w:pPr>
    </w:lvl>
    <w:lvl w:ilvl="6" w:tplc="C70CAA24">
      <w:start w:val="1"/>
      <w:numFmt w:val="decimal"/>
      <w:lvlText w:val="%7."/>
      <w:lvlJc w:val="left"/>
      <w:pPr>
        <w:ind w:left="5040" w:hanging="360"/>
      </w:pPr>
    </w:lvl>
    <w:lvl w:ilvl="7" w:tplc="9286A5BE">
      <w:start w:val="1"/>
      <w:numFmt w:val="lowerLetter"/>
      <w:lvlText w:val="%8."/>
      <w:lvlJc w:val="left"/>
      <w:pPr>
        <w:ind w:left="5760" w:hanging="360"/>
      </w:pPr>
    </w:lvl>
    <w:lvl w:ilvl="8" w:tplc="E8A813FC">
      <w:start w:val="1"/>
      <w:numFmt w:val="lowerRoman"/>
      <w:lvlText w:val="%9."/>
      <w:lvlJc w:val="right"/>
      <w:pPr>
        <w:ind w:left="6480" w:hanging="180"/>
      </w:pPr>
    </w:lvl>
  </w:abstractNum>
  <w:abstractNum w:abstractNumId="76" w15:restartNumberingAfterBreak="0">
    <w:nsid w:val="5AC160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F9F1346"/>
    <w:multiLevelType w:val="multilevel"/>
    <w:tmpl w:val="553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FA3A80"/>
    <w:multiLevelType w:val="multilevel"/>
    <w:tmpl w:val="F43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11E07EC"/>
    <w:multiLevelType w:val="hybridMultilevel"/>
    <w:tmpl w:val="0F7A0BAE"/>
    <w:lvl w:ilvl="0" w:tplc="04150011">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0" w15:restartNumberingAfterBreak="0">
    <w:nsid w:val="625E6B3E"/>
    <w:multiLevelType w:val="hybridMultilevel"/>
    <w:tmpl w:val="F88CB3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EE5D97"/>
    <w:multiLevelType w:val="multilevel"/>
    <w:tmpl w:val="7E6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41A16B6"/>
    <w:multiLevelType w:val="hybridMultilevel"/>
    <w:tmpl w:val="CD220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7B3346"/>
    <w:multiLevelType w:val="hybridMultilevel"/>
    <w:tmpl w:val="B37E8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A54749"/>
    <w:multiLevelType w:val="multilevel"/>
    <w:tmpl w:val="C240B87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A9D61A6"/>
    <w:multiLevelType w:val="hybridMultilevel"/>
    <w:tmpl w:val="B7443E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A3182E"/>
    <w:multiLevelType w:val="hybridMultilevel"/>
    <w:tmpl w:val="E7ECF15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C007FF9"/>
    <w:multiLevelType w:val="hybridMultilevel"/>
    <w:tmpl w:val="6D2239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C8B5F37"/>
    <w:multiLevelType w:val="hybridMultilevel"/>
    <w:tmpl w:val="2ECE1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091F90"/>
    <w:multiLevelType w:val="hybridMultilevel"/>
    <w:tmpl w:val="3B28D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65F8CE"/>
    <w:multiLevelType w:val="hybridMultilevel"/>
    <w:tmpl w:val="44F869AA"/>
    <w:lvl w:ilvl="0" w:tplc="11765400">
      <w:start w:val="1"/>
      <w:numFmt w:val="decimal"/>
      <w:lvlText w:val="%1."/>
      <w:lvlJc w:val="left"/>
      <w:pPr>
        <w:ind w:left="720" w:hanging="360"/>
      </w:pPr>
    </w:lvl>
    <w:lvl w:ilvl="1" w:tplc="16AE5430">
      <w:start w:val="1"/>
      <w:numFmt w:val="lowerLetter"/>
      <w:lvlText w:val="%2."/>
      <w:lvlJc w:val="left"/>
      <w:pPr>
        <w:ind w:left="1440" w:hanging="360"/>
      </w:pPr>
    </w:lvl>
    <w:lvl w:ilvl="2" w:tplc="1DB048CE">
      <w:start w:val="1"/>
      <w:numFmt w:val="lowerLetter"/>
      <w:lvlText w:val="%3)"/>
      <w:lvlJc w:val="left"/>
      <w:pPr>
        <w:ind w:left="2160" w:hanging="180"/>
      </w:pPr>
    </w:lvl>
    <w:lvl w:ilvl="3" w:tplc="6D9A10DC">
      <w:start w:val="1"/>
      <w:numFmt w:val="decimal"/>
      <w:lvlText w:val="%4."/>
      <w:lvlJc w:val="left"/>
      <w:pPr>
        <w:ind w:left="2880" w:hanging="360"/>
      </w:pPr>
    </w:lvl>
    <w:lvl w:ilvl="4" w:tplc="0FDA9F1C">
      <w:start w:val="1"/>
      <w:numFmt w:val="lowerLetter"/>
      <w:lvlText w:val="%5."/>
      <w:lvlJc w:val="left"/>
      <w:pPr>
        <w:ind w:left="3600" w:hanging="360"/>
      </w:pPr>
    </w:lvl>
    <w:lvl w:ilvl="5" w:tplc="6B38B64A">
      <w:start w:val="1"/>
      <w:numFmt w:val="lowerRoman"/>
      <w:lvlText w:val="%6."/>
      <w:lvlJc w:val="right"/>
      <w:pPr>
        <w:ind w:left="4320" w:hanging="180"/>
      </w:pPr>
    </w:lvl>
    <w:lvl w:ilvl="6" w:tplc="D2583542">
      <w:start w:val="1"/>
      <w:numFmt w:val="decimal"/>
      <w:lvlText w:val="%7."/>
      <w:lvlJc w:val="left"/>
      <w:pPr>
        <w:ind w:left="5040" w:hanging="360"/>
      </w:pPr>
    </w:lvl>
    <w:lvl w:ilvl="7" w:tplc="9A448C72">
      <w:start w:val="1"/>
      <w:numFmt w:val="lowerLetter"/>
      <w:lvlText w:val="%8."/>
      <w:lvlJc w:val="left"/>
      <w:pPr>
        <w:ind w:left="5760" w:hanging="360"/>
      </w:pPr>
    </w:lvl>
    <w:lvl w:ilvl="8" w:tplc="98BE45FE">
      <w:start w:val="1"/>
      <w:numFmt w:val="lowerRoman"/>
      <w:lvlText w:val="%9."/>
      <w:lvlJc w:val="right"/>
      <w:pPr>
        <w:ind w:left="6480" w:hanging="180"/>
      </w:pPr>
    </w:lvl>
  </w:abstractNum>
  <w:abstractNum w:abstractNumId="91" w15:restartNumberingAfterBreak="0">
    <w:nsid w:val="6E934984"/>
    <w:multiLevelType w:val="hybridMultilevel"/>
    <w:tmpl w:val="18A02A8E"/>
    <w:lvl w:ilvl="0" w:tplc="2FB6DA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6D26BB"/>
    <w:multiLevelType w:val="hybridMultilevel"/>
    <w:tmpl w:val="3BDA8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744353"/>
    <w:multiLevelType w:val="hybridMultilevel"/>
    <w:tmpl w:val="FB3CD3D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D4191E"/>
    <w:multiLevelType w:val="hybridMultilevel"/>
    <w:tmpl w:val="8A1E1C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238320A"/>
    <w:multiLevelType w:val="hybridMultilevel"/>
    <w:tmpl w:val="65CEFDE6"/>
    <w:lvl w:ilvl="0" w:tplc="06A89DB4">
      <w:start w:val="1"/>
      <w:numFmt w:val="bullet"/>
      <w:lvlText w:val="-"/>
      <w:lvlJc w:val="left"/>
      <w:pPr>
        <w:ind w:left="720" w:hanging="360"/>
      </w:pPr>
      <w:rPr>
        <w:rFonts w:ascii="Calibri" w:hAnsi="Calibri" w:hint="default"/>
      </w:rPr>
    </w:lvl>
    <w:lvl w:ilvl="1" w:tplc="824046CE">
      <w:start w:val="1"/>
      <w:numFmt w:val="bullet"/>
      <w:lvlText w:val="o"/>
      <w:lvlJc w:val="left"/>
      <w:pPr>
        <w:ind w:left="1440" w:hanging="360"/>
      </w:pPr>
      <w:rPr>
        <w:rFonts w:ascii="Courier New" w:hAnsi="Courier New" w:hint="default"/>
      </w:rPr>
    </w:lvl>
    <w:lvl w:ilvl="2" w:tplc="BEA8BE50">
      <w:start w:val="1"/>
      <w:numFmt w:val="bullet"/>
      <w:lvlText w:val=""/>
      <w:lvlJc w:val="left"/>
      <w:pPr>
        <w:ind w:left="2160" w:hanging="360"/>
      </w:pPr>
      <w:rPr>
        <w:rFonts w:ascii="Wingdings" w:hAnsi="Wingdings" w:hint="default"/>
      </w:rPr>
    </w:lvl>
    <w:lvl w:ilvl="3" w:tplc="BAB08B8C">
      <w:start w:val="1"/>
      <w:numFmt w:val="bullet"/>
      <w:lvlText w:val=""/>
      <w:lvlJc w:val="left"/>
      <w:pPr>
        <w:ind w:left="2880" w:hanging="360"/>
      </w:pPr>
      <w:rPr>
        <w:rFonts w:ascii="Symbol" w:hAnsi="Symbol" w:hint="default"/>
      </w:rPr>
    </w:lvl>
    <w:lvl w:ilvl="4" w:tplc="17600030">
      <w:start w:val="1"/>
      <w:numFmt w:val="bullet"/>
      <w:lvlText w:val="o"/>
      <w:lvlJc w:val="left"/>
      <w:pPr>
        <w:ind w:left="3600" w:hanging="360"/>
      </w:pPr>
      <w:rPr>
        <w:rFonts w:ascii="Courier New" w:hAnsi="Courier New" w:hint="default"/>
      </w:rPr>
    </w:lvl>
    <w:lvl w:ilvl="5" w:tplc="817AA246">
      <w:start w:val="1"/>
      <w:numFmt w:val="bullet"/>
      <w:lvlText w:val=""/>
      <w:lvlJc w:val="left"/>
      <w:pPr>
        <w:ind w:left="4320" w:hanging="360"/>
      </w:pPr>
      <w:rPr>
        <w:rFonts w:ascii="Wingdings" w:hAnsi="Wingdings" w:hint="default"/>
      </w:rPr>
    </w:lvl>
    <w:lvl w:ilvl="6" w:tplc="FDE020A8">
      <w:start w:val="1"/>
      <w:numFmt w:val="bullet"/>
      <w:lvlText w:val=""/>
      <w:lvlJc w:val="left"/>
      <w:pPr>
        <w:ind w:left="5040" w:hanging="360"/>
      </w:pPr>
      <w:rPr>
        <w:rFonts w:ascii="Symbol" w:hAnsi="Symbol" w:hint="default"/>
      </w:rPr>
    </w:lvl>
    <w:lvl w:ilvl="7" w:tplc="51E4FFBE">
      <w:start w:val="1"/>
      <w:numFmt w:val="bullet"/>
      <w:lvlText w:val="o"/>
      <w:lvlJc w:val="left"/>
      <w:pPr>
        <w:ind w:left="5760" w:hanging="360"/>
      </w:pPr>
      <w:rPr>
        <w:rFonts w:ascii="Courier New" w:hAnsi="Courier New" w:hint="default"/>
      </w:rPr>
    </w:lvl>
    <w:lvl w:ilvl="8" w:tplc="B0BE1EB8">
      <w:start w:val="1"/>
      <w:numFmt w:val="bullet"/>
      <w:lvlText w:val=""/>
      <w:lvlJc w:val="left"/>
      <w:pPr>
        <w:ind w:left="6480" w:hanging="360"/>
      </w:pPr>
      <w:rPr>
        <w:rFonts w:ascii="Wingdings" w:hAnsi="Wingdings" w:hint="default"/>
      </w:rPr>
    </w:lvl>
  </w:abstractNum>
  <w:abstractNum w:abstractNumId="96" w15:restartNumberingAfterBreak="0">
    <w:nsid w:val="737E05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6642135"/>
    <w:multiLevelType w:val="hybridMultilevel"/>
    <w:tmpl w:val="4708952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5"/>
  </w:num>
  <w:num w:numId="2">
    <w:abstractNumId w:val="23"/>
  </w:num>
  <w:num w:numId="3">
    <w:abstractNumId w:val="6"/>
  </w:num>
  <w:num w:numId="4">
    <w:abstractNumId w:val="95"/>
  </w:num>
  <w:num w:numId="5">
    <w:abstractNumId w:val="10"/>
  </w:num>
  <w:num w:numId="6">
    <w:abstractNumId w:val="47"/>
  </w:num>
  <w:num w:numId="7">
    <w:abstractNumId w:val="90"/>
  </w:num>
  <w:num w:numId="8">
    <w:abstractNumId w:val="50"/>
  </w:num>
  <w:num w:numId="9">
    <w:abstractNumId w:val="52"/>
  </w:num>
  <w:num w:numId="10">
    <w:abstractNumId w:val="71"/>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56"/>
  </w:num>
  <w:num w:numId="16">
    <w:abstractNumId w:val="41"/>
  </w:num>
  <w:num w:numId="17">
    <w:abstractNumId w:val="28"/>
  </w:num>
  <w:num w:numId="18">
    <w:abstractNumId w:val="87"/>
  </w:num>
  <w:num w:numId="19">
    <w:abstractNumId w:val="97"/>
  </w:num>
  <w:num w:numId="20">
    <w:abstractNumId w:val="32"/>
  </w:num>
  <w:num w:numId="21">
    <w:abstractNumId w:val="66"/>
  </w:num>
  <w:num w:numId="22">
    <w:abstractNumId w:val="96"/>
  </w:num>
  <w:num w:numId="23">
    <w:abstractNumId w:val="1"/>
  </w:num>
  <w:num w:numId="24">
    <w:abstractNumId w:val="68"/>
  </w:num>
  <w:num w:numId="25">
    <w:abstractNumId w:val="8"/>
  </w:num>
  <w:num w:numId="26">
    <w:abstractNumId w:val="84"/>
  </w:num>
  <w:num w:numId="27">
    <w:abstractNumId w:val="19"/>
  </w:num>
  <w:num w:numId="28">
    <w:abstractNumId w:val="60"/>
  </w:num>
  <w:num w:numId="29">
    <w:abstractNumId w:val="40"/>
  </w:num>
  <w:num w:numId="30">
    <w:abstractNumId w:val="42"/>
  </w:num>
  <w:num w:numId="31">
    <w:abstractNumId w:val="77"/>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3"/>
  </w:num>
  <w:num w:numId="42">
    <w:abstractNumId w:val="71"/>
  </w:num>
  <w:num w:numId="43">
    <w:abstractNumId w:val="5"/>
  </w:num>
  <w:num w:numId="44">
    <w:abstractNumId w:val="79"/>
  </w:num>
  <w:num w:numId="45">
    <w:abstractNumId w:val="16"/>
  </w:num>
  <w:num w:numId="46">
    <w:abstractNumId w:val="88"/>
  </w:num>
  <w:num w:numId="47">
    <w:abstractNumId w:val="73"/>
  </w:num>
  <w:num w:numId="48">
    <w:abstractNumId w:val="21"/>
  </w:num>
  <w:num w:numId="49">
    <w:abstractNumId w:val="44"/>
  </w:num>
  <w:num w:numId="50">
    <w:abstractNumId w:val="91"/>
  </w:num>
  <w:num w:numId="51">
    <w:abstractNumId w:val="26"/>
  </w:num>
  <w:num w:numId="52">
    <w:abstractNumId w:val="29"/>
  </w:num>
  <w:num w:numId="53">
    <w:abstractNumId w:val="80"/>
  </w:num>
  <w:num w:numId="54">
    <w:abstractNumId w:val="86"/>
  </w:num>
  <w:num w:numId="55">
    <w:abstractNumId w:val="89"/>
  </w:num>
  <w:num w:numId="56">
    <w:abstractNumId w:val="69"/>
  </w:num>
  <w:num w:numId="57">
    <w:abstractNumId w:val="54"/>
  </w:num>
  <w:num w:numId="58">
    <w:abstractNumId w:val="45"/>
  </w:num>
  <w:num w:numId="59">
    <w:abstractNumId w:val="11"/>
  </w:num>
  <w:num w:numId="60">
    <w:abstractNumId w:val="93"/>
  </w:num>
  <w:num w:numId="61">
    <w:abstractNumId w:val="57"/>
  </w:num>
  <w:num w:numId="62">
    <w:abstractNumId w:val="36"/>
  </w:num>
  <w:num w:numId="63">
    <w:abstractNumId w:val="74"/>
  </w:num>
  <w:num w:numId="64">
    <w:abstractNumId w:val="71"/>
  </w:num>
  <w:num w:numId="65">
    <w:abstractNumId w:val="71"/>
  </w:num>
  <w:num w:numId="66">
    <w:abstractNumId w:val="65"/>
  </w:num>
  <w:num w:numId="67">
    <w:abstractNumId w:val="70"/>
  </w:num>
  <w:num w:numId="68">
    <w:abstractNumId w:val="63"/>
  </w:num>
  <w:num w:numId="69">
    <w:abstractNumId w:val="4"/>
  </w:num>
  <w:num w:numId="70">
    <w:abstractNumId w:val="51"/>
  </w:num>
  <w:num w:numId="71">
    <w:abstractNumId w:val="18"/>
  </w:num>
  <w:num w:numId="72">
    <w:abstractNumId w:val="25"/>
  </w:num>
  <w:num w:numId="73">
    <w:abstractNumId w:val="31"/>
  </w:num>
  <w:num w:numId="74">
    <w:abstractNumId w:val="35"/>
  </w:num>
  <w:num w:numId="75">
    <w:abstractNumId w:val="67"/>
  </w:num>
  <w:num w:numId="76">
    <w:abstractNumId w:val="48"/>
  </w:num>
  <w:num w:numId="77">
    <w:abstractNumId w:val="34"/>
  </w:num>
  <w:num w:numId="78">
    <w:abstractNumId w:val="39"/>
  </w:num>
  <w:num w:numId="79">
    <w:abstractNumId w:val="76"/>
  </w:num>
  <w:num w:numId="80">
    <w:abstractNumId w:val="0"/>
  </w:num>
  <w:num w:numId="81">
    <w:abstractNumId w:val="55"/>
  </w:num>
  <w:num w:numId="82">
    <w:abstractNumId w:val="58"/>
  </w:num>
  <w:num w:numId="83">
    <w:abstractNumId w:val="83"/>
  </w:num>
  <w:num w:numId="84">
    <w:abstractNumId w:val="92"/>
  </w:num>
  <w:num w:numId="85">
    <w:abstractNumId w:val="20"/>
  </w:num>
  <w:num w:numId="86">
    <w:abstractNumId w:val="7"/>
  </w:num>
  <w:num w:numId="87">
    <w:abstractNumId w:val="14"/>
  </w:num>
  <w:num w:numId="88">
    <w:abstractNumId w:val="64"/>
  </w:num>
  <w:num w:numId="89">
    <w:abstractNumId w:val="33"/>
  </w:num>
  <w:num w:numId="90">
    <w:abstractNumId w:val="27"/>
  </w:num>
  <w:num w:numId="91">
    <w:abstractNumId w:val="17"/>
  </w:num>
  <w:num w:numId="92">
    <w:abstractNumId w:val="13"/>
  </w:num>
  <w:num w:numId="93">
    <w:abstractNumId w:val="3"/>
  </w:num>
  <w:num w:numId="94">
    <w:abstractNumId w:val="49"/>
  </w:num>
  <w:num w:numId="95">
    <w:abstractNumId w:val="46"/>
  </w:num>
  <w:num w:numId="96">
    <w:abstractNumId w:val="71"/>
    <w:lvlOverride w:ilvl="0">
      <w:startOverride w:val="5"/>
    </w:lvlOverride>
    <w:lvlOverride w:ilvl="1">
      <w:startOverride w:val="1"/>
    </w:lvlOverride>
  </w:num>
  <w:num w:numId="97">
    <w:abstractNumId w:val="59"/>
  </w:num>
  <w:num w:numId="98">
    <w:abstractNumId w:val="62"/>
  </w:num>
  <w:num w:numId="99">
    <w:abstractNumId w:val="71"/>
  </w:num>
  <w:num w:numId="100">
    <w:abstractNumId w:val="71"/>
  </w:num>
  <w:num w:numId="101">
    <w:abstractNumId w:val="24"/>
  </w:num>
  <w:num w:numId="102">
    <w:abstractNumId w:val="61"/>
  </w:num>
  <w:num w:numId="103">
    <w:abstractNumId w:val="78"/>
  </w:num>
  <w:num w:numId="10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2"/>
  </w:num>
  <w:num w:numId="106">
    <w:abstractNumId w:val="2"/>
  </w:num>
  <w:num w:numId="107">
    <w:abstractNumId w:val="37"/>
  </w:num>
  <w:num w:numId="108">
    <w:abstractNumId w:val="81"/>
  </w:num>
  <w:num w:numId="109">
    <w:abstractNumId w:val="53"/>
  </w:num>
  <w:num w:numId="110">
    <w:abstractNumId w:val="82"/>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38"/>
  </w:num>
  <w:num w:numId="141">
    <w:abstractNumId w:val="85"/>
  </w:num>
  <w:num w:numId="142">
    <w:abstractNumId w:val="3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53"/>
    <w:rsid w:val="000018FC"/>
    <w:rsid w:val="00003076"/>
    <w:rsid w:val="00003A72"/>
    <w:rsid w:val="0000442E"/>
    <w:rsid w:val="0000548E"/>
    <w:rsid w:val="0000555D"/>
    <w:rsid w:val="0000662A"/>
    <w:rsid w:val="0001043E"/>
    <w:rsid w:val="00012CD0"/>
    <w:rsid w:val="000130DB"/>
    <w:rsid w:val="00013C14"/>
    <w:rsid w:val="00015DB3"/>
    <w:rsid w:val="00016F2D"/>
    <w:rsid w:val="00017890"/>
    <w:rsid w:val="00020940"/>
    <w:rsid w:val="00020AD9"/>
    <w:rsid w:val="00021FA0"/>
    <w:rsid w:val="00023D03"/>
    <w:rsid w:val="00023F1F"/>
    <w:rsid w:val="000272C9"/>
    <w:rsid w:val="00030BEA"/>
    <w:rsid w:val="00032068"/>
    <w:rsid w:val="00033C97"/>
    <w:rsid w:val="00036755"/>
    <w:rsid w:val="00052291"/>
    <w:rsid w:val="0005533D"/>
    <w:rsid w:val="00056BE1"/>
    <w:rsid w:val="00056F07"/>
    <w:rsid w:val="0006414F"/>
    <w:rsid w:val="00064713"/>
    <w:rsid w:val="00065FDF"/>
    <w:rsid w:val="000706B4"/>
    <w:rsid w:val="000707B1"/>
    <w:rsid w:val="00071DF9"/>
    <w:rsid w:val="00076373"/>
    <w:rsid w:val="00076CD3"/>
    <w:rsid w:val="000915D0"/>
    <w:rsid w:val="000934B7"/>
    <w:rsid w:val="00094CA6"/>
    <w:rsid w:val="00094D31"/>
    <w:rsid w:val="00096144"/>
    <w:rsid w:val="00096946"/>
    <w:rsid w:val="000A0853"/>
    <w:rsid w:val="000A178E"/>
    <w:rsid w:val="000A440D"/>
    <w:rsid w:val="000B0083"/>
    <w:rsid w:val="000B711F"/>
    <w:rsid w:val="000C2014"/>
    <w:rsid w:val="000D0BD4"/>
    <w:rsid w:val="000D2D84"/>
    <w:rsid w:val="000D5739"/>
    <w:rsid w:val="000D7D17"/>
    <w:rsid w:val="000E0E5A"/>
    <w:rsid w:val="000E1DB7"/>
    <w:rsid w:val="000E2C89"/>
    <w:rsid w:val="000E3DD9"/>
    <w:rsid w:val="000E4A5F"/>
    <w:rsid w:val="000E6B28"/>
    <w:rsid w:val="000F0673"/>
    <w:rsid w:val="000F082F"/>
    <w:rsid w:val="000F12C8"/>
    <w:rsid w:val="000F26C1"/>
    <w:rsid w:val="000F2CE3"/>
    <w:rsid w:val="000F3EE1"/>
    <w:rsid w:val="000F5803"/>
    <w:rsid w:val="000F73FE"/>
    <w:rsid w:val="00101AF3"/>
    <w:rsid w:val="00105444"/>
    <w:rsid w:val="0011009E"/>
    <w:rsid w:val="0011335C"/>
    <w:rsid w:val="00113550"/>
    <w:rsid w:val="00114ABF"/>
    <w:rsid w:val="00116108"/>
    <w:rsid w:val="00121AC3"/>
    <w:rsid w:val="00121F48"/>
    <w:rsid w:val="00123034"/>
    <w:rsid w:val="00123075"/>
    <w:rsid w:val="00124222"/>
    <w:rsid w:val="0012544F"/>
    <w:rsid w:val="00131D61"/>
    <w:rsid w:val="001445EC"/>
    <w:rsid w:val="00146772"/>
    <w:rsid w:val="001471A3"/>
    <w:rsid w:val="00147A3C"/>
    <w:rsid w:val="00147E6F"/>
    <w:rsid w:val="00154B21"/>
    <w:rsid w:val="00155514"/>
    <w:rsid w:val="00156FD9"/>
    <w:rsid w:val="0016061A"/>
    <w:rsid w:val="00162EF5"/>
    <w:rsid w:val="001634F5"/>
    <w:rsid w:val="00166BB3"/>
    <w:rsid w:val="00167C35"/>
    <w:rsid w:val="00170EA9"/>
    <w:rsid w:val="001719A4"/>
    <w:rsid w:val="00172F60"/>
    <w:rsid w:val="00173C42"/>
    <w:rsid w:val="001760F8"/>
    <w:rsid w:val="00176475"/>
    <w:rsid w:val="00180890"/>
    <w:rsid w:val="001808B2"/>
    <w:rsid w:val="00181226"/>
    <w:rsid w:val="00187ED3"/>
    <w:rsid w:val="001916EC"/>
    <w:rsid w:val="001B2405"/>
    <w:rsid w:val="001B2F3A"/>
    <w:rsid w:val="001B34F1"/>
    <w:rsid w:val="001B3A99"/>
    <w:rsid w:val="001C0A25"/>
    <w:rsid w:val="001C2D39"/>
    <w:rsid w:val="001C2FF4"/>
    <w:rsid w:val="001C4129"/>
    <w:rsid w:val="001C455D"/>
    <w:rsid w:val="001C4696"/>
    <w:rsid w:val="001C51DD"/>
    <w:rsid w:val="001C559E"/>
    <w:rsid w:val="001C5D31"/>
    <w:rsid w:val="001D1397"/>
    <w:rsid w:val="001D2F52"/>
    <w:rsid w:val="001E0077"/>
    <w:rsid w:val="001E0B00"/>
    <w:rsid w:val="001E0E43"/>
    <w:rsid w:val="001E2D57"/>
    <w:rsid w:val="001E34D2"/>
    <w:rsid w:val="001E3DFA"/>
    <w:rsid w:val="001E5B46"/>
    <w:rsid w:val="001F0E0B"/>
    <w:rsid w:val="001F3440"/>
    <w:rsid w:val="0020753B"/>
    <w:rsid w:val="00211E9D"/>
    <w:rsid w:val="00214714"/>
    <w:rsid w:val="00214B8E"/>
    <w:rsid w:val="00222413"/>
    <w:rsid w:val="002224DB"/>
    <w:rsid w:val="002249CC"/>
    <w:rsid w:val="002252F7"/>
    <w:rsid w:val="00227CFF"/>
    <w:rsid w:val="002304AF"/>
    <w:rsid w:val="0023493D"/>
    <w:rsid w:val="00237C78"/>
    <w:rsid w:val="002401F8"/>
    <w:rsid w:val="00241A73"/>
    <w:rsid w:val="002424B1"/>
    <w:rsid w:val="00242AE4"/>
    <w:rsid w:val="00245690"/>
    <w:rsid w:val="0024669F"/>
    <w:rsid w:val="00250923"/>
    <w:rsid w:val="0025110A"/>
    <w:rsid w:val="0025132F"/>
    <w:rsid w:val="002532C2"/>
    <w:rsid w:val="002546DB"/>
    <w:rsid w:val="00261E10"/>
    <w:rsid w:val="0026371D"/>
    <w:rsid w:val="002729EE"/>
    <w:rsid w:val="00273338"/>
    <w:rsid w:val="00275D79"/>
    <w:rsid w:val="002773B7"/>
    <w:rsid w:val="002809F3"/>
    <w:rsid w:val="00281279"/>
    <w:rsid w:val="00281F57"/>
    <w:rsid w:val="00285B92"/>
    <w:rsid w:val="00290E8D"/>
    <w:rsid w:val="00294A3F"/>
    <w:rsid w:val="002971DA"/>
    <w:rsid w:val="002A222E"/>
    <w:rsid w:val="002A238E"/>
    <w:rsid w:val="002B3E29"/>
    <w:rsid w:val="002B5584"/>
    <w:rsid w:val="002B6EA5"/>
    <w:rsid w:val="002C1571"/>
    <w:rsid w:val="002C2A55"/>
    <w:rsid w:val="002D04A2"/>
    <w:rsid w:val="002D2B49"/>
    <w:rsid w:val="002D7564"/>
    <w:rsid w:val="002E2E4A"/>
    <w:rsid w:val="002E3312"/>
    <w:rsid w:val="002E420C"/>
    <w:rsid w:val="002E55AF"/>
    <w:rsid w:val="002E67AB"/>
    <w:rsid w:val="002F14DC"/>
    <w:rsid w:val="002F1F23"/>
    <w:rsid w:val="002F7FFE"/>
    <w:rsid w:val="00300C6C"/>
    <w:rsid w:val="003010F2"/>
    <w:rsid w:val="0030509C"/>
    <w:rsid w:val="00305512"/>
    <w:rsid w:val="00310F8E"/>
    <w:rsid w:val="0031153F"/>
    <w:rsid w:val="003154F5"/>
    <w:rsid w:val="003157EB"/>
    <w:rsid w:val="0031623E"/>
    <w:rsid w:val="00324E66"/>
    <w:rsid w:val="00324EC5"/>
    <w:rsid w:val="003252A1"/>
    <w:rsid w:val="00325855"/>
    <w:rsid w:val="003327D4"/>
    <w:rsid w:val="00334B5E"/>
    <w:rsid w:val="00335087"/>
    <w:rsid w:val="003365BE"/>
    <w:rsid w:val="00340552"/>
    <w:rsid w:val="00340C1A"/>
    <w:rsid w:val="00341DFE"/>
    <w:rsid w:val="00344B2E"/>
    <w:rsid w:val="00345399"/>
    <w:rsid w:val="00345FB4"/>
    <w:rsid w:val="00346529"/>
    <w:rsid w:val="00351AD6"/>
    <w:rsid w:val="00351BF8"/>
    <w:rsid w:val="00360C8C"/>
    <w:rsid w:val="003612EB"/>
    <w:rsid w:val="00364781"/>
    <w:rsid w:val="003655B1"/>
    <w:rsid w:val="0036630B"/>
    <w:rsid w:val="00370BEA"/>
    <w:rsid w:val="00372A32"/>
    <w:rsid w:val="0037531B"/>
    <w:rsid w:val="003919EA"/>
    <w:rsid w:val="00392094"/>
    <w:rsid w:val="00394BE5"/>
    <w:rsid w:val="00397757"/>
    <w:rsid w:val="003978D4"/>
    <w:rsid w:val="003A2C98"/>
    <w:rsid w:val="003A61A4"/>
    <w:rsid w:val="003A78A8"/>
    <w:rsid w:val="003B1837"/>
    <w:rsid w:val="003B2736"/>
    <w:rsid w:val="003B2CF9"/>
    <w:rsid w:val="003B6507"/>
    <w:rsid w:val="003C02DC"/>
    <w:rsid w:val="003C2673"/>
    <w:rsid w:val="003C68B1"/>
    <w:rsid w:val="003D76F8"/>
    <w:rsid w:val="003F0755"/>
    <w:rsid w:val="003F3188"/>
    <w:rsid w:val="003F5BF3"/>
    <w:rsid w:val="003F743A"/>
    <w:rsid w:val="00400961"/>
    <w:rsid w:val="004027AD"/>
    <w:rsid w:val="004105E1"/>
    <w:rsid w:val="004123D3"/>
    <w:rsid w:val="004148FF"/>
    <w:rsid w:val="00421067"/>
    <w:rsid w:val="0042226C"/>
    <w:rsid w:val="00423716"/>
    <w:rsid w:val="00426A0F"/>
    <w:rsid w:val="00429F79"/>
    <w:rsid w:val="00430166"/>
    <w:rsid w:val="00433FEA"/>
    <w:rsid w:val="00441444"/>
    <w:rsid w:val="004446DF"/>
    <w:rsid w:val="00447FC2"/>
    <w:rsid w:val="00451700"/>
    <w:rsid w:val="00451844"/>
    <w:rsid w:val="00451B8C"/>
    <w:rsid w:val="00456707"/>
    <w:rsid w:val="00456E33"/>
    <w:rsid w:val="00456F3C"/>
    <w:rsid w:val="0047321C"/>
    <w:rsid w:val="00474A31"/>
    <w:rsid w:val="0048021F"/>
    <w:rsid w:val="004812EC"/>
    <w:rsid w:val="0048386B"/>
    <w:rsid w:val="00487BAA"/>
    <w:rsid w:val="00490655"/>
    <w:rsid w:val="004938B9"/>
    <w:rsid w:val="00493F6D"/>
    <w:rsid w:val="004966BF"/>
    <w:rsid w:val="00497E91"/>
    <w:rsid w:val="004A10C6"/>
    <w:rsid w:val="004A23A4"/>
    <w:rsid w:val="004A37E5"/>
    <w:rsid w:val="004A4994"/>
    <w:rsid w:val="004B0EFE"/>
    <w:rsid w:val="004B0FE8"/>
    <w:rsid w:val="004B25B1"/>
    <w:rsid w:val="004B2EEF"/>
    <w:rsid w:val="004B3A93"/>
    <w:rsid w:val="004B4C93"/>
    <w:rsid w:val="004C58EB"/>
    <w:rsid w:val="004C7D8A"/>
    <w:rsid w:val="004D2902"/>
    <w:rsid w:val="004D2D5D"/>
    <w:rsid w:val="004D3D7D"/>
    <w:rsid w:val="004D515A"/>
    <w:rsid w:val="004D51A3"/>
    <w:rsid w:val="004D5F8E"/>
    <w:rsid w:val="004E0419"/>
    <w:rsid w:val="004E0BFE"/>
    <w:rsid w:val="004E4339"/>
    <w:rsid w:val="004E55AC"/>
    <w:rsid w:val="004E638B"/>
    <w:rsid w:val="004F2F9F"/>
    <w:rsid w:val="004F4AEE"/>
    <w:rsid w:val="004F7868"/>
    <w:rsid w:val="0050016E"/>
    <w:rsid w:val="0050122F"/>
    <w:rsid w:val="005020F8"/>
    <w:rsid w:val="0050374C"/>
    <w:rsid w:val="00503B79"/>
    <w:rsid w:val="005043FD"/>
    <w:rsid w:val="00507E19"/>
    <w:rsid w:val="0051501A"/>
    <w:rsid w:val="005179EB"/>
    <w:rsid w:val="0052493A"/>
    <w:rsid w:val="0052637F"/>
    <w:rsid w:val="00527079"/>
    <w:rsid w:val="005300AE"/>
    <w:rsid w:val="0053226E"/>
    <w:rsid w:val="00537836"/>
    <w:rsid w:val="00550701"/>
    <w:rsid w:val="00550D49"/>
    <w:rsid w:val="00553E26"/>
    <w:rsid w:val="00553EB8"/>
    <w:rsid w:val="00560B22"/>
    <w:rsid w:val="00562492"/>
    <w:rsid w:val="00564D8D"/>
    <w:rsid w:val="00565EE7"/>
    <w:rsid w:val="00566D80"/>
    <w:rsid w:val="00566DD9"/>
    <w:rsid w:val="0056749C"/>
    <w:rsid w:val="0056778E"/>
    <w:rsid w:val="00570790"/>
    <w:rsid w:val="00575415"/>
    <w:rsid w:val="00577830"/>
    <w:rsid w:val="0058445B"/>
    <w:rsid w:val="00586A69"/>
    <w:rsid w:val="00590812"/>
    <w:rsid w:val="00590B34"/>
    <w:rsid w:val="005918D8"/>
    <w:rsid w:val="00594A75"/>
    <w:rsid w:val="00596B1E"/>
    <w:rsid w:val="005A01FD"/>
    <w:rsid w:val="005A4030"/>
    <w:rsid w:val="005B66E6"/>
    <w:rsid w:val="005B76EA"/>
    <w:rsid w:val="005C193C"/>
    <w:rsid w:val="005C1B7D"/>
    <w:rsid w:val="005C1C27"/>
    <w:rsid w:val="005C1E2E"/>
    <w:rsid w:val="005C3619"/>
    <w:rsid w:val="005C44C1"/>
    <w:rsid w:val="005C5753"/>
    <w:rsid w:val="005C59EF"/>
    <w:rsid w:val="005C7142"/>
    <w:rsid w:val="005C732D"/>
    <w:rsid w:val="005C7DC1"/>
    <w:rsid w:val="005D096B"/>
    <w:rsid w:val="005D2133"/>
    <w:rsid w:val="005D4C02"/>
    <w:rsid w:val="005D5B9C"/>
    <w:rsid w:val="005E0A8E"/>
    <w:rsid w:val="005E4279"/>
    <w:rsid w:val="005E4ABE"/>
    <w:rsid w:val="005E7133"/>
    <w:rsid w:val="005F3C05"/>
    <w:rsid w:val="005F6468"/>
    <w:rsid w:val="005F7BC2"/>
    <w:rsid w:val="006002E0"/>
    <w:rsid w:val="00603A71"/>
    <w:rsid w:val="00607933"/>
    <w:rsid w:val="00611D8A"/>
    <w:rsid w:val="00614564"/>
    <w:rsid w:val="006179D6"/>
    <w:rsid w:val="006179E6"/>
    <w:rsid w:val="0062058D"/>
    <w:rsid w:val="00630A3B"/>
    <w:rsid w:val="00631714"/>
    <w:rsid w:val="006320A5"/>
    <w:rsid w:val="00633307"/>
    <w:rsid w:val="00636501"/>
    <w:rsid w:val="00637316"/>
    <w:rsid w:val="00640FE5"/>
    <w:rsid w:val="00641EED"/>
    <w:rsid w:val="00647CD0"/>
    <w:rsid w:val="00651E39"/>
    <w:rsid w:val="0065711E"/>
    <w:rsid w:val="00657976"/>
    <w:rsid w:val="006635D7"/>
    <w:rsid w:val="00663FCA"/>
    <w:rsid w:val="00666F52"/>
    <w:rsid w:val="00672DEA"/>
    <w:rsid w:val="00675EDA"/>
    <w:rsid w:val="00684BB3"/>
    <w:rsid w:val="006915CB"/>
    <w:rsid w:val="00693B1B"/>
    <w:rsid w:val="00695347"/>
    <w:rsid w:val="00695564"/>
    <w:rsid w:val="00695986"/>
    <w:rsid w:val="006A1ACE"/>
    <w:rsid w:val="006B1EE2"/>
    <w:rsid w:val="006B2751"/>
    <w:rsid w:val="006B4B9A"/>
    <w:rsid w:val="006B5365"/>
    <w:rsid w:val="006C18A7"/>
    <w:rsid w:val="006C1B34"/>
    <w:rsid w:val="006C2FD6"/>
    <w:rsid w:val="006D2425"/>
    <w:rsid w:val="006D3344"/>
    <w:rsid w:val="006E2652"/>
    <w:rsid w:val="006E33C1"/>
    <w:rsid w:val="006F02D1"/>
    <w:rsid w:val="006F05A7"/>
    <w:rsid w:val="006F1A39"/>
    <w:rsid w:val="006F1AF2"/>
    <w:rsid w:val="006F2B1E"/>
    <w:rsid w:val="006F32F1"/>
    <w:rsid w:val="00706C80"/>
    <w:rsid w:val="0071161A"/>
    <w:rsid w:val="007138B7"/>
    <w:rsid w:val="00713978"/>
    <w:rsid w:val="00713CF9"/>
    <w:rsid w:val="00714BF0"/>
    <w:rsid w:val="00717D1B"/>
    <w:rsid w:val="00723014"/>
    <w:rsid w:val="007235DE"/>
    <w:rsid w:val="00725BFD"/>
    <w:rsid w:val="00727557"/>
    <w:rsid w:val="0072787B"/>
    <w:rsid w:val="007312B9"/>
    <w:rsid w:val="00731CC0"/>
    <w:rsid w:val="007332FE"/>
    <w:rsid w:val="007345F3"/>
    <w:rsid w:val="0073707A"/>
    <w:rsid w:val="007405DC"/>
    <w:rsid w:val="00745F59"/>
    <w:rsid w:val="00755725"/>
    <w:rsid w:val="00756FC5"/>
    <w:rsid w:val="0076554A"/>
    <w:rsid w:val="00766BAF"/>
    <w:rsid w:val="007678D0"/>
    <w:rsid w:val="00771E87"/>
    <w:rsid w:val="00772370"/>
    <w:rsid w:val="007767E8"/>
    <w:rsid w:val="00780FC4"/>
    <w:rsid w:val="007825A9"/>
    <w:rsid w:val="00783E32"/>
    <w:rsid w:val="0078FB79"/>
    <w:rsid w:val="0079191A"/>
    <w:rsid w:val="00792EFC"/>
    <w:rsid w:val="00793967"/>
    <w:rsid w:val="0079446D"/>
    <w:rsid w:val="007947C5"/>
    <w:rsid w:val="0079587D"/>
    <w:rsid w:val="00796D32"/>
    <w:rsid w:val="007A1375"/>
    <w:rsid w:val="007A18DB"/>
    <w:rsid w:val="007A3BD4"/>
    <w:rsid w:val="007A5EAE"/>
    <w:rsid w:val="007A5FC0"/>
    <w:rsid w:val="007A6072"/>
    <w:rsid w:val="007A7C18"/>
    <w:rsid w:val="007B16CB"/>
    <w:rsid w:val="007B4F6F"/>
    <w:rsid w:val="007C09D8"/>
    <w:rsid w:val="007C2B96"/>
    <w:rsid w:val="007C2E6D"/>
    <w:rsid w:val="007C36D2"/>
    <w:rsid w:val="007C72D0"/>
    <w:rsid w:val="007C75CE"/>
    <w:rsid w:val="007D5C08"/>
    <w:rsid w:val="007D7C8B"/>
    <w:rsid w:val="007E06FF"/>
    <w:rsid w:val="007E20FA"/>
    <w:rsid w:val="007E2866"/>
    <w:rsid w:val="007E56C7"/>
    <w:rsid w:val="007E6ABF"/>
    <w:rsid w:val="007E7186"/>
    <w:rsid w:val="007F00F1"/>
    <w:rsid w:val="007F37A1"/>
    <w:rsid w:val="007F3E7A"/>
    <w:rsid w:val="007F5FDC"/>
    <w:rsid w:val="0080100B"/>
    <w:rsid w:val="00803265"/>
    <w:rsid w:val="0080637E"/>
    <w:rsid w:val="008110FB"/>
    <w:rsid w:val="00817CFA"/>
    <w:rsid w:val="008210F5"/>
    <w:rsid w:val="00833CDB"/>
    <w:rsid w:val="0083524B"/>
    <w:rsid w:val="00836078"/>
    <w:rsid w:val="00836438"/>
    <w:rsid w:val="0083712A"/>
    <w:rsid w:val="00843914"/>
    <w:rsid w:val="00843D80"/>
    <w:rsid w:val="0085683C"/>
    <w:rsid w:val="00860E3B"/>
    <w:rsid w:val="008663C6"/>
    <w:rsid w:val="00867CFA"/>
    <w:rsid w:val="00870423"/>
    <w:rsid w:val="008826EF"/>
    <w:rsid w:val="0088444A"/>
    <w:rsid w:val="00887626"/>
    <w:rsid w:val="0089128B"/>
    <w:rsid w:val="0089670D"/>
    <w:rsid w:val="008A1055"/>
    <w:rsid w:val="008A2A72"/>
    <w:rsid w:val="008A2D82"/>
    <w:rsid w:val="008A7A55"/>
    <w:rsid w:val="008B4BDB"/>
    <w:rsid w:val="008B4DDA"/>
    <w:rsid w:val="008C1401"/>
    <w:rsid w:val="008C3999"/>
    <w:rsid w:val="008C57A9"/>
    <w:rsid w:val="008C60E3"/>
    <w:rsid w:val="008E140D"/>
    <w:rsid w:val="008E57D6"/>
    <w:rsid w:val="008F022E"/>
    <w:rsid w:val="008F078F"/>
    <w:rsid w:val="008F1DAC"/>
    <w:rsid w:val="008F3A56"/>
    <w:rsid w:val="008F3CFF"/>
    <w:rsid w:val="008F3F53"/>
    <w:rsid w:val="008F44EC"/>
    <w:rsid w:val="008F6059"/>
    <w:rsid w:val="0091184E"/>
    <w:rsid w:val="00912C49"/>
    <w:rsid w:val="00913129"/>
    <w:rsid w:val="00914D6F"/>
    <w:rsid w:val="0092127A"/>
    <w:rsid w:val="009214DD"/>
    <w:rsid w:val="00921C7C"/>
    <w:rsid w:val="009235C1"/>
    <w:rsid w:val="009235D6"/>
    <w:rsid w:val="009246CE"/>
    <w:rsid w:val="00924EE8"/>
    <w:rsid w:val="00925399"/>
    <w:rsid w:val="009276C2"/>
    <w:rsid w:val="009277D5"/>
    <w:rsid w:val="00932DC9"/>
    <w:rsid w:val="009357AB"/>
    <w:rsid w:val="009417A8"/>
    <w:rsid w:val="00942DA9"/>
    <w:rsid w:val="00943B0A"/>
    <w:rsid w:val="009459F2"/>
    <w:rsid w:val="00950E83"/>
    <w:rsid w:val="009557A3"/>
    <w:rsid w:val="00957D5B"/>
    <w:rsid w:val="009651FF"/>
    <w:rsid w:val="00966B7E"/>
    <w:rsid w:val="009675A6"/>
    <w:rsid w:val="00973631"/>
    <w:rsid w:val="009775B1"/>
    <w:rsid w:val="009802DA"/>
    <w:rsid w:val="00984AA6"/>
    <w:rsid w:val="00992D23"/>
    <w:rsid w:val="00992ECC"/>
    <w:rsid w:val="009A070F"/>
    <w:rsid w:val="009A1B62"/>
    <w:rsid w:val="009A50C9"/>
    <w:rsid w:val="009A5F9E"/>
    <w:rsid w:val="009B364E"/>
    <w:rsid w:val="009B3948"/>
    <w:rsid w:val="009B68C8"/>
    <w:rsid w:val="009B6D75"/>
    <w:rsid w:val="009B6FF8"/>
    <w:rsid w:val="009C1444"/>
    <w:rsid w:val="009C35BE"/>
    <w:rsid w:val="009C64A9"/>
    <w:rsid w:val="009C7D36"/>
    <w:rsid w:val="009C7E3D"/>
    <w:rsid w:val="009D1F7E"/>
    <w:rsid w:val="009D5581"/>
    <w:rsid w:val="009D6236"/>
    <w:rsid w:val="009D7B18"/>
    <w:rsid w:val="009DA219"/>
    <w:rsid w:val="009E1A5F"/>
    <w:rsid w:val="009E3422"/>
    <w:rsid w:val="009E599E"/>
    <w:rsid w:val="009F1882"/>
    <w:rsid w:val="00A0147F"/>
    <w:rsid w:val="00A105A5"/>
    <w:rsid w:val="00A21769"/>
    <w:rsid w:val="00A22552"/>
    <w:rsid w:val="00A22E8A"/>
    <w:rsid w:val="00A233A5"/>
    <w:rsid w:val="00A32826"/>
    <w:rsid w:val="00A361CB"/>
    <w:rsid w:val="00A427D4"/>
    <w:rsid w:val="00A54E7F"/>
    <w:rsid w:val="00A579EE"/>
    <w:rsid w:val="00A653A9"/>
    <w:rsid w:val="00A728D0"/>
    <w:rsid w:val="00A76026"/>
    <w:rsid w:val="00A864CA"/>
    <w:rsid w:val="00A86811"/>
    <w:rsid w:val="00A91D8A"/>
    <w:rsid w:val="00A953FA"/>
    <w:rsid w:val="00A96028"/>
    <w:rsid w:val="00A96622"/>
    <w:rsid w:val="00A9771B"/>
    <w:rsid w:val="00AA1FB0"/>
    <w:rsid w:val="00AA262E"/>
    <w:rsid w:val="00AA2DAC"/>
    <w:rsid w:val="00AA4531"/>
    <w:rsid w:val="00AA474A"/>
    <w:rsid w:val="00AA4BB7"/>
    <w:rsid w:val="00AA6DA1"/>
    <w:rsid w:val="00AB13DC"/>
    <w:rsid w:val="00AB19D4"/>
    <w:rsid w:val="00AB209B"/>
    <w:rsid w:val="00AB2582"/>
    <w:rsid w:val="00AC15AF"/>
    <w:rsid w:val="00AC1F80"/>
    <w:rsid w:val="00AC2282"/>
    <w:rsid w:val="00AC5C4B"/>
    <w:rsid w:val="00AC5F35"/>
    <w:rsid w:val="00AD0CF6"/>
    <w:rsid w:val="00AD13BB"/>
    <w:rsid w:val="00AD2D8B"/>
    <w:rsid w:val="00AD6197"/>
    <w:rsid w:val="00AD6B85"/>
    <w:rsid w:val="00AD774B"/>
    <w:rsid w:val="00AE033A"/>
    <w:rsid w:val="00AE124F"/>
    <w:rsid w:val="00AE1DF8"/>
    <w:rsid w:val="00AE25A5"/>
    <w:rsid w:val="00AE2BA4"/>
    <w:rsid w:val="00AE4F8A"/>
    <w:rsid w:val="00AE7D2C"/>
    <w:rsid w:val="00AF1278"/>
    <w:rsid w:val="00AF2CB7"/>
    <w:rsid w:val="00AF3F73"/>
    <w:rsid w:val="00AF40A6"/>
    <w:rsid w:val="00B00605"/>
    <w:rsid w:val="00B00C32"/>
    <w:rsid w:val="00B02A73"/>
    <w:rsid w:val="00B06773"/>
    <w:rsid w:val="00B10F5B"/>
    <w:rsid w:val="00B121DB"/>
    <w:rsid w:val="00B153AA"/>
    <w:rsid w:val="00B15D86"/>
    <w:rsid w:val="00B21A5C"/>
    <w:rsid w:val="00B21D1B"/>
    <w:rsid w:val="00B25D62"/>
    <w:rsid w:val="00B344A8"/>
    <w:rsid w:val="00B35375"/>
    <w:rsid w:val="00B35418"/>
    <w:rsid w:val="00B36BB6"/>
    <w:rsid w:val="00B36D0F"/>
    <w:rsid w:val="00B43B8D"/>
    <w:rsid w:val="00B55853"/>
    <w:rsid w:val="00B56B93"/>
    <w:rsid w:val="00B57F7A"/>
    <w:rsid w:val="00B65659"/>
    <w:rsid w:val="00B67AC1"/>
    <w:rsid w:val="00B72E5B"/>
    <w:rsid w:val="00B751D1"/>
    <w:rsid w:val="00B77C92"/>
    <w:rsid w:val="00B80801"/>
    <w:rsid w:val="00B822DB"/>
    <w:rsid w:val="00B83271"/>
    <w:rsid w:val="00B87535"/>
    <w:rsid w:val="00B965AA"/>
    <w:rsid w:val="00B967CD"/>
    <w:rsid w:val="00BA66A9"/>
    <w:rsid w:val="00BB0352"/>
    <w:rsid w:val="00BB3AB8"/>
    <w:rsid w:val="00BB4F4B"/>
    <w:rsid w:val="00BB7696"/>
    <w:rsid w:val="00BC1BCF"/>
    <w:rsid w:val="00BC254D"/>
    <w:rsid w:val="00BC4564"/>
    <w:rsid w:val="00BD0024"/>
    <w:rsid w:val="00BD1147"/>
    <w:rsid w:val="00BD482A"/>
    <w:rsid w:val="00BD4E24"/>
    <w:rsid w:val="00BE3DE6"/>
    <w:rsid w:val="00BF0DFB"/>
    <w:rsid w:val="00BF1BCA"/>
    <w:rsid w:val="00BF33FA"/>
    <w:rsid w:val="00BF795D"/>
    <w:rsid w:val="00C0014E"/>
    <w:rsid w:val="00C02FB7"/>
    <w:rsid w:val="00C040ED"/>
    <w:rsid w:val="00C05F40"/>
    <w:rsid w:val="00C066F1"/>
    <w:rsid w:val="00C10CE6"/>
    <w:rsid w:val="00C12AC1"/>
    <w:rsid w:val="00C133CD"/>
    <w:rsid w:val="00C13B91"/>
    <w:rsid w:val="00C13C66"/>
    <w:rsid w:val="00C14F1C"/>
    <w:rsid w:val="00C3305A"/>
    <w:rsid w:val="00C35904"/>
    <w:rsid w:val="00C36B3E"/>
    <w:rsid w:val="00C36C6D"/>
    <w:rsid w:val="00C4646D"/>
    <w:rsid w:val="00C528DD"/>
    <w:rsid w:val="00C539D7"/>
    <w:rsid w:val="00C5763E"/>
    <w:rsid w:val="00C620AE"/>
    <w:rsid w:val="00C63D27"/>
    <w:rsid w:val="00C63E2F"/>
    <w:rsid w:val="00C723B4"/>
    <w:rsid w:val="00C83427"/>
    <w:rsid w:val="00C848B7"/>
    <w:rsid w:val="00C87735"/>
    <w:rsid w:val="00C87D9D"/>
    <w:rsid w:val="00C90CD3"/>
    <w:rsid w:val="00C91990"/>
    <w:rsid w:val="00C91C2E"/>
    <w:rsid w:val="00C92093"/>
    <w:rsid w:val="00C92A34"/>
    <w:rsid w:val="00C952E6"/>
    <w:rsid w:val="00C959DA"/>
    <w:rsid w:val="00C96312"/>
    <w:rsid w:val="00C97B1B"/>
    <w:rsid w:val="00C97D99"/>
    <w:rsid w:val="00CA0C40"/>
    <w:rsid w:val="00CA3A13"/>
    <w:rsid w:val="00CA3E4A"/>
    <w:rsid w:val="00CA7D31"/>
    <w:rsid w:val="00CB5F69"/>
    <w:rsid w:val="00CB6C06"/>
    <w:rsid w:val="00CB6FD0"/>
    <w:rsid w:val="00CC4385"/>
    <w:rsid w:val="00CC5E6F"/>
    <w:rsid w:val="00CC60F2"/>
    <w:rsid w:val="00CD3466"/>
    <w:rsid w:val="00CD3DC6"/>
    <w:rsid w:val="00CD3FCA"/>
    <w:rsid w:val="00CD7BFC"/>
    <w:rsid w:val="00CE1BF4"/>
    <w:rsid w:val="00CE6447"/>
    <w:rsid w:val="00CF1250"/>
    <w:rsid w:val="00CF344A"/>
    <w:rsid w:val="00CF6C99"/>
    <w:rsid w:val="00CF6E42"/>
    <w:rsid w:val="00CF75C7"/>
    <w:rsid w:val="00D001CE"/>
    <w:rsid w:val="00D06304"/>
    <w:rsid w:val="00D06C57"/>
    <w:rsid w:val="00D10485"/>
    <w:rsid w:val="00D11986"/>
    <w:rsid w:val="00D1339F"/>
    <w:rsid w:val="00D16737"/>
    <w:rsid w:val="00D17E9A"/>
    <w:rsid w:val="00D205B9"/>
    <w:rsid w:val="00D208EE"/>
    <w:rsid w:val="00D23106"/>
    <w:rsid w:val="00D31760"/>
    <w:rsid w:val="00D32FD3"/>
    <w:rsid w:val="00D338D3"/>
    <w:rsid w:val="00D34CE1"/>
    <w:rsid w:val="00D3736F"/>
    <w:rsid w:val="00D375CB"/>
    <w:rsid w:val="00D42CE4"/>
    <w:rsid w:val="00D565B5"/>
    <w:rsid w:val="00D57E0A"/>
    <w:rsid w:val="00D5DD0D"/>
    <w:rsid w:val="00D66367"/>
    <w:rsid w:val="00D67E21"/>
    <w:rsid w:val="00D741BC"/>
    <w:rsid w:val="00D80059"/>
    <w:rsid w:val="00D81E28"/>
    <w:rsid w:val="00D82C51"/>
    <w:rsid w:val="00D845DA"/>
    <w:rsid w:val="00D86068"/>
    <w:rsid w:val="00D86945"/>
    <w:rsid w:val="00D96601"/>
    <w:rsid w:val="00D96978"/>
    <w:rsid w:val="00D974BA"/>
    <w:rsid w:val="00DA4EF7"/>
    <w:rsid w:val="00DA5A7B"/>
    <w:rsid w:val="00DB056A"/>
    <w:rsid w:val="00DB24CF"/>
    <w:rsid w:val="00DB3FC3"/>
    <w:rsid w:val="00DB46EF"/>
    <w:rsid w:val="00DB6759"/>
    <w:rsid w:val="00DC24DE"/>
    <w:rsid w:val="00DC4337"/>
    <w:rsid w:val="00DC60E0"/>
    <w:rsid w:val="00DC62BC"/>
    <w:rsid w:val="00DC67BF"/>
    <w:rsid w:val="00DD53E5"/>
    <w:rsid w:val="00DD57F1"/>
    <w:rsid w:val="00DD5D18"/>
    <w:rsid w:val="00DD6D84"/>
    <w:rsid w:val="00DE25CF"/>
    <w:rsid w:val="00DE2E1D"/>
    <w:rsid w:val="00DE376F"/>
    <w:rsid w:val="00DE38FB"/>
    <w:rsid w:val="00DE5E7B"/>
    <w:rsid w:val="00DF358E"/>
    <w:rsid w:val="00DF700C"/>
    <w:rsid w:val="00DF748C"/>
    <w:rsid w:val="00E021DC"/>
    <w:rsid w:val="00E02809"/>
    <w:rsid w:val="00E037D0"/>
    <w:rsid w:val="00E07786"/>
    <w:rsid w:val="00E07F34"/>
    <w:rsid w:val="00E129CF"/>
    <w:rsid w:val="00E15346"/>
    <w:rsid w:val="00E15507"/>
    <w:rsid w:val="00E159C3"/>
    <w:rsid w:val="00E22942"/>
    <w:rsid w:val="00E231F3"/>
    <w:rsid w:val="00E2408F"/>
    <w:rsid w:val="00E30C4A"/>
    <w:rsid w:val="00E32136"/>
    <w:rsid w:val="00E35E42"/>
    <w:rsid w:val="00E405B8"/>
    <w:rsid w:val="00E40B2A"/>
    <w:rsid w:val="00E428E8"/>
    <w:rsid w:val="00E45007"/>
    <w:rsid w:val="00E50431"/>
    <w:rsid w:val="00E512A6"/>
    <w:rsid w:val="00E53A39"/>
    <w:rsid w:val="00E568E7"/>
    <w:rsid w:val="00E56FA5"/>
    <w:rsid w:val="00E57A4B"/>
    <w:rsid w:val="00E61219"/>
    <w:rsid w:val="00E65F10"/>
    <w:rsid w:val="00E71F70"/>
    <w:rsid w:val="00E72802"/>
    <w:rsid w:val="00E73186"/>
    <w:rsid w:val="00E74B3F"/>
    <w:rsid w:val="00E75EC7"/>
    <w:rsid w:val="00E85671"/>
    <w:rsid w:val="00E85EED"/>
    <w:rsid w:val="00E87595"/>
    <w:rsid w:val="00E87D92"/>
    <w:rsid w:val="00E91ABD"/>
    <w:rsid w:val="00E9D351"/>
    <w:rsid w:val="00EA00D3"/>
    <w:rsid w:val="00EA1867"/>
    <w:rsid w:val="00EA378A"/>
    <w:rsid w:val="00EA37AE"/>
    <w:rsid w:val="00EA3F3B"/>
    <w:rsid w:val="00EA4717"/>
    <w:rsid w:val="00EA5868"/>
    <w:rsid w:val="00EA742E"/>
    <w:rsid w:val="00EA776F"/>
    <w:rsid w:val="00EB0194"/>
    <w:rsid w:val="00EB100F"/>
    <w:rsid w:val="00EB1143"/>
    <w:rsid w:val="00EB1D6E"/>
    <w:rsid w:val="00EB41EE"/>
    <w:rsid w:val="00EB6C89"/>
    <w:rsid w:val="00EC247F"/>
    <w:rsid w:val="00EC43B1"/>
    <w:rsid w:val="00EC6EBF"/>
    <w:rsid w:val="00ED086F"/>
    <w:rsid w:val="00ED0C78"/>
    <w:rsid w:val="00ED444F"/>
    <w:rsid w:val="00ED4A9C"/>
    <w:rsid w:val="00ED6A13"/>
    <w:rsid w:val="00EE17D9"/>
    <w:rsid w:val="00EE2D0F"/>
    <w:rsid w:val="00EE4D02"/>
    <w:rsid w:val="00EE6385"/>
    <w:rsid w:val="00EE659A"/>
    <w:rsid w:val="00EF0DB8"/>
    <w:rsid w:val="00EF2E0B"/>
    <w:rsid w:val="00EF2EB6"/>
    <w:rsid w:val="00EF5BE5"/>
    <w:rsid w:val="00F00421"/>
    <w:rsid w:val="00F00B76"/>
    <w:rsid w:val="00F00C9A"/>
    <w:rsid w:val="00F03ED0"/>
    <w:rsid w:val="00F04B05"/>
    <w:rsid w:val="00F074D5"/>
    <w:rsid w:val="00F16BCF"/>
    <w:rsid w:val="00F20183"/>
    <w:rsid w:val="00F20F5B"/>
    <w:rsid w:val="00F21752"/>
    <w:rsid w:val="00F2389A"/>
    <w:rsid w:val="00F24E2F"/>
    <w:rsid w:val="00F256D8"/>
    <w:rsid w:val="00F25B46"/>
    <w:rsid w:val="00F265B7"/>
    <w:rsid w:val="00F27FEE"/>
    <w:rsid w:val="00F32800"/>
    <w:rsid w:val="00F4051B"/>
    <w:rsid w:val="00F429E7"/>
    <w:rsid w:val="00F43500"/>
    <w:rsid w:val="00F46A75"/>
    <w:rsid w:val="00F4D93F"/>
    <w:rsid w:val="00F5261D"/>
    <w:rsid w:val="00F54266"/>
    <w:rsid w:val="00F54B52"/>
    <w:rsid w:val="00F61707"/>
    <w:rsid w:val="00F61D37"/>
    <w:rsid w:val="00F64356"/>
    <w:rsid w:val="00F64FED"/>
    <w:rsid w:val="00F6603E"/>
    <w:rsid w:val="00F6628C"/>
    <w:rsid w:val="00F6758D"/>
    <w:rsid w:val="00F74486"/>
    <w:rsid w:val="00F76084"/>
    <w:rsid w:val="00F77B49"/>
    <w:rsid w:val="00F80C5B"/>
    <w:rsid w:val="00F816CA"/>
    <w:rsid w:val="00F85D06"/>
    <w:rsid w:val="00F95D29"/>
    <w:rsid w:val="00FA0A5B"/>
    <w:rsid w:val="00FB1ABD"/>
    <w:rsid w:val="00FB4399"/>
    <w:rsid w:val="00FB5ADD"/>
    <w:rsid w:val="00FC03F0"/>
    <w:rsid w:val="00FC3415"/>
    <w:rsid w:val="00FD3075"/>
    <w:rsid w:val="00FD3A0B"/>
    <w:rsid w:val="00FD5569"/>
    <w:rsid w:val="00FD6B35"/>
    <w:rsid w:val="00FD6CEA"/>
    <w:rsid w:val="00FD6EE6"/>
    <w:rsid w:val="00FE119E"/>
    <w:rsid w:val="00FE1C4F"/>
    <w:rsid w:val="00FE6148"/>
    <w:rsid w:val="00FE672E"/>
    <w:rsid w:val="00FE76D8"/>
    <w:rsid w:val="00FF1285"/>
    <w:rsid w:val="00FF1B00"/>
    <w:rsid w:val="00FF3EC0"/>
    <w:rsid w:val="00FF6546"/>
    <w:rsid w:val="010945DC"/>
    <w:rsid w:val="01120ACC"/>
    <w:rsid w:val="012239DB"/>
    <w:rsid w:val="012EA905"/>
    <w:rsid w:val="014A6C4B"/>
    <w:rsid w:val="017C6DCA"/>
    <w:rsid w:val="0186E5EC"/>
    <w:rsid w:val="0198C895"/>
    <w:rsid w:val="01B4FBB4"/>
    <w:rsid w:val="022537D5"/>
    <w:rsid w:val="022C8630"/>
    <w:rsid w:val="0245B221"/>
    <w:rsid w:val="02465580"/>
    <w:rsid w:val="0266BFFB"/>
    <w:rsid w:val="026A4C7C"/>
    <w:rsid w:val="02819F9D"/>
    <w:rsid w:val="02E7B4CF"/>
    <w:rsid w:val="02F5CA73"/>
    <w:rsid w:val="02FA5A8A"/>
    <w:rsid w:val="03A0FEFF"/>
    <w:rsid w:val="03A31F1F"/>
    <w:rsid w:val="03B1231D"/>
    <w:rsid w:val="03B4A51E"/>
    <w:rsid w:val="03B70385"/>
    <w:rsid w:val="03E306E5"/>
    <w:rsid w:val="03E72856"/>
    <w:rsid w:val="04042E25"/>
    <w:rsid w:val="04146D20"/>
    <w:rsid w:val="041A9D8C"/>
    <w:rsid w:val="041CE119"/>
    <w:rsid w:val="0447D251"/>
    <w:rsid w:val="046FF86D"/>
    <w:rsid w:val="0471C1F9"/>
    <w:rsid w:val="0485A5E2"/>
    <w:rsid w:val="04898300"/>
    <w:rsid w:val="04BA6392"/>
    <w:rsid w:val="04C191EF"/>
    <w:rsid w:val="04FB455B"/>
    <w:rsid w:val="0506B08C"/>
    <w:rsid w:val="051438AF"/>
    <w:rsid w:val="053A5FB3"/>
    <w:rsid w:val="054E380E"/>
    <w:rsid w:val="0561AFDF"/>
    <w:rsid w:val="05B3D82A"/>
    <w:rsid w:val="05CC5EE5"/>
    <w:rsid w:val="05D45216"/>
    <w:rsid w:val="05E23216"/>
    <w:rsid w:val="05E7D473"/>
    <w:rsid w:val="05F3DE58"/>
    <w:rsid w:val="05F6CD58"/>
    <w:rsid w:val="05FB3328"/>
    <w:rsid w:val="060096C8"/>
    <w:rsid w:val="061A7F38"/>
    <w:rsid w:val="06300C95"/>
    <w:rsid w:val="0631A25B"/>
    <w:rsid w:val="0657211A"/>
    <w:rsid w:val="065A38AA"/>
    <w:rsid w:val="066D5F53"/>
    <w:rsid w:val="068A2D0C"/>
    <w:rsid w:val="0698A11E"/>
    <w:rsid w:val="06A65627"/>
    <w:rsid w:val="06AF653B"/>
    <w:rsid w:val="06C54537"/>
    <w:rsid w:val="06DDA27E"/>
    <w:rsid w:val="06F52C9E"/>
    <w:rsid w:val="07025E35"/>
    <w:rsid w:val="072403AF"/>
    <w:rsid w:val="073100D4"/>
    <w:rsid w:val="07386C0A"/>
    <w:rsid w:val="07663AE7"/>
    <w:rsid w:val="076D27FB"/>
    <w:rsid w:val="077251D8"/>
    <w:rsid w:val="07B338CF"/>
    <w:rsid w:val="07C94085"/>
    <w:rsid w:val="07DB499D"/>
    <w:rsid w:val="07DB591E"/>
    <w:rsid w:val="07E831F4"/>
    <w:rsid w:val="08084FF0"/>
    <w:rsid w:val="080AD105"/>
    <w:rsid w:val="0825E8EB"/>
    <w:rsid w:val="082C43E9"/>
    <w:rsid w:val="0842CF87"/>
    <w:rsid w:val="08644478"/>
    <w:rsid w:val="086615A8"/>
    <w:rsid w:val="087397D1"/>
    <w:rsid w:val="0896BEED"/>
    <w:rsid w:val="08B11F2B"/>
    <w:rsid w:val="08CAD7DB"/>
    <w:rsid w:val="08CD7833"/>
    <w:rsid w:val="08D807E5"/>
    <w:rsid w:val="08F9CB72"/>
    <w:rsid w:val="09106454"/>
    <w:rsid w:val="09249EE5"/>
    <w:rsid w:val="0929326C"/>
    <w:rsid w:val="094EE248"/>
    <w:rsid w:val="0970DB39"/>
    <w:rsid w:val="09891AA4"/>
    <w:rsid w:val="09A1F224"/>
    <w:rsid w:val="09A9FCA3"/>
    <w:rsid w:val="09DF7BD2"/>
    <w:rsid w:val="09F7F5A3"/>
    <w:rsid w:val="09FCA420"/>
    <w:rsid w:val="0A2FDC8A"/>
    <w:rsid w:val="0A87B77F"/>
    <w:rsid w:val="0A8B3B4C"/>
    <w:rsid w:val="0A96C6BA"/>
    <w:rsid w:val="0A9CDC03"/>
    <w:rsid w:val="0AB3E34A"/>
    <w:rsid w:val="0AC3285F"/>
    <w:rsid w:val="0AD05DB1"/>
    <w:rsid w:val="0B1B23EB"/>
    <w:rsid w:val="0B212113"/>
    <w:rsid w:val="0B2930EE"/>
    <w:rsid w:val="0B2EC30F"/>
    <w:rsid w:val="0B30E280"/>
    <w:rsid w:val="0B43D688"/>
    <w:rsid w:val="0B58022D"/>
    <w:rsid w:val="0B7BBB5C"/>
    <w:rsid w:val="0B8D7D1B"/>
    <w:rsid w:val="0B929225"/>
    <w:rsid w:val="0B9DBFE7"/>
    <w:rsid w:val="0BB0F08D"/>
    <w:rsid w:val="0BB726F5"/>
    <w:rsid w:val="0BB81BBF"/>
    <w:rsid w:val="0BCBD02C"/>
    <w:rsid w:val="0BCCF91B"/>
    <w:rsid w:val="0BCDB7DE"/>
    <w:rsid w:val="0BE06E25"/>
    <w:rsid w:val="0BEF985D"/>
    <w:rsid w:val="0BFCB64C"/>
    <w:rsid w:val="0BFDEA7F"/>
    <w:rsid w:val="0C05290E"/>
    <w:rsid w:val="0C19E0E5"/>
    <w:rsid w:val="0C389D98"/>
    <w:rsid w:val="0C4121B5"/>
    <w:rsid w:val="0C4E490B"/>
    <w:rsid w:val="0C58042D"/>
    <w:rsid w:val="0C6D8179"/>
    <w:rsid w:val="0CA23E3D"/>
    <w:rsid w:val="0CBCF174"/>
    <w:rsid w:val="0CC6D812"/>
    <w:rsid w:val="0CD7ACC9"/>
    <w:rsid w:val="0CEA977A"/>
    <w:rsid w:val="0CF0CF02"/>
    <w:rsid w:val="0D03B3F1"/>
    <w:rsid w:val="0D072F48"/>
    <w:rsid w:val="0D149AA9"/>
    <w:rsid w:val="0D15AE53"/>
    <w:rsid w:val="0D4D73EB"/>
    <w:rsid w:val="0D642141"/>
    <w:rsid w:val="0D6FE6CF"/>
    <w:rsid w:val="0D82D16B"/>
    <w:rsid w:val="0DBD0A83"/>
    <w:rsid w:val="0DBD8C31"/>
    <w:rsid w:val="0DC1EF21"/>
    <w:rsid w:val="0DC74E55"/>
    <w:rsid w:val="0DCD49FD"/>
    <w:rsid w:val="0DEAFFB4"/>
    <w:rsid w:val="0DFF13FE"/>
    <w:rsid w:val="0E2DDB59"/>
    <w:rsid w:val="0E571064"/>
    <w:rsid w:val="0E7A51DC"/>
    <w:rsid w:val="0E80BC72"/>
    <w:rsid w:val="0E9D5237"/>
    <w:rsid w:val="0EA196CD"/>
    <w:rsid w:val="0EA7C477"/>
    <w:rsid w:val="0EA835A1"/>
    <w:rsid w:val="0EB43139"/>
    <w:rsid w:val="0EBCAE74"/>
    <w:rsid w:val="0EBFDF07"/>
    <w:rsid w:val="0EE57D9B"/>
    <w:rsid w:val="0F4448EF"/>
    <w:rsid w:val="0F474969"/>
    <w:rsid w:val="0F5334EC"/>
    <w:rsid w:val="0F53EAE5"/>
    <w:rsid w:val="0F6A7296"/>
    <w:rsid w:val="0F79D84D"/>
    <w:rsid w:val="0F84BAF1"/>
    <w:rsid w:val="0F892987"/>
    <w:rsid w:val="0F9B90D5"/>
    <w:rsid w:val="0FC08139"/>
    <w:rsid w:val="0FC77BAB"/>
    <w:rsid w:val="0FCE9046"/>
    <w:rsid w:val="0FD956A3"/>
    <w:rsid w:val="0FF4F6DD"/>
    <w:rsid w:val="10062697"/>
    <w:rsid w:val="100F1127"/>
    <w:rsid w:val="1051A7C0"/>
    <w:rsid w:val="1071B8CC"/>
    <w:rsid w:val="107905C4"/>
    <w:rsid w:val="10D60198"/>
    <w:rsid w:val="10E03232"/>
    <w:rsid w:val="10F62D3E"/>
    <w:rsid w:val="110B6424"/>
    <w:rsid w:val="110F7CAA"/>
    <w:rsid w:val="1120FB1E"/>
    <w:rsid w:val="112B4CAA"/>
    <w:rsid w:val="114622C6"/>
    <w:rsid w:val="11532E2A"/>
    <w:rsid w:val="115659F8"/>
    <w:rsid w:val="115AB8FD"/>
    <w:rsid w:val="1162FD47"/>
    <w:rsid w:val="11754D3C"/>
    <w:rsid w:val="117DAD6D"/>
    <w:rsid w:val="118F00D6"/>
    <w:rsid w:val="1193526F"/>
    <w:rsid w:val="11D3CC87"/>
    <w:rsid w:val="11DA1907"/>
    <w:rsid w:val="11E886D3"/>
    <w:rsid w:val="120342A8"/>
    <w:rsid w:val="120C901C"/>
    <w:rsid w:val="1222DB10"/>
    <w:rsid w:val="122BD082"/>
    <w:rsid w:val="124756C5"/>
    <w:rsid w:val="1275FE57"/>
    <w:rsid w:val="12817175"/>
    <w:rsid w:val="129C0AD0"/>
    <w:rsid w:val="12B10875"/>
    <w:rsid w:val="12C98B13"/>
    <w:rsid w:val="13054CC3"/>
    <w:rsid w:val="132029C8"/>
    <w:rsid w:val="133A4D2F"/>
    <w:rsid w:val="133BB011"/>
    <w:rsid w:val="134FCB8A"/>
    <w:rsid w:val="13859C38"/>
    <w:rsid w:val="13869374"/>
    <w:rsid w:val="13A78229"/>
    <w:rsid w:val="13B831D3"/>
    <w:rsid w:val="13C8429B"/>
    <w:rsid w:val="13D8B4BC"/>
    <w:rsid w:val="13FF6D44"/>
    <w:rsid w:val="142499E0"/>
    <w:rsid w:val="1449107F"/>
    <w:rsid w:val="144CEB85"/>
    <w:rsid w:val="14735259"/>
    <w:rsid w:val="14878648"/>
    <w:rsid w:val="14A0B3C9"/>
    <w:rsid w:val="14AA5305"/>
    <w:rsid w:val="14AF4100"/>
    <w:rsid w:val="14AFF4C5"/>
    <w:rsid w:val="14C08651"/>
    <w:rsid w:val="14C0B446"/>
    <w:rsid w:val="14D43169"/>
    <w:rsid w:val="14DBEA5F"/>
    <w:rsid w:val="14E36837"/>
    <w:rsid w:val="14F658DE"/>
    <w:rsid w:val="150A2F09"/>
    <w:rsid w:val="15376210"/>
    <w:rsid w:val="153F3CEF"/>
    <w:rsid w:val="156459B3"/>
    <w:rsid w:val="156C495E"/>
    <w:rsid w:val="158F862B"/>
    <w:rsid w:val="1590DF83"/>
    <w:rsid w:val="159E06CB"/>
    <w:rsid w:val="15A1AFD5"/>
    <w:rsid w:val="15BEBC7E"/>
    <w:rsid w:val="15C4318D"/>
    <w:rsid w:val="15FD83C9"/>
    <w:rsid w:val="1611BD5C"/>
    <w:rsid w:val="16309210"/>
    <w:rsid w:val="163B7108"/>
    <w:rsid w:val="163C842A"/>
    <w:rsid w:val="164DA6AB"/>
    <w:rsid w:val="165B567D"/>
    <w:rsid w:val="165F515A"/>
    <w:rsid w:val="1692293F"/>
    <w:rsid w:val="169CA3DD"/>
    <w:rsid w:val="16A70C0E"/>
    <w:rsid w:val="16A8B0FD"/>
    <w:rsid w:val="16CEDF3D"/>
    <w:rsid w:val="16D3519D"/>
    <w:rsid w:val="16F20EA6"/>
    <w:rsid w:val="16F682B8"/>
    <w:rsid w:val="173F2EDB"/>
    <w:rsid w:val="17662A62"/>
    <w:rsid w:val="1767A049"/>
    <w:rsid w:val="178978BA"/>
    <w:rsid w:val="17A438A1"/>
    <w:rsid w:val="17AD4E77"/>
    <w:rsid w:val="17C1DEA2"/>
    <w:rsid w:val="17E1BE2E"/>
    <w:rsid w:val="17E9803C"/>
    <w:rsid w:val="17EC598C"/>
    <w:rsid w:val="17F80108"/>
    <w:rsid w:val="180E448E"/>
    <w:rsid w:val="182429B2"/>
    <w:rsid w:val="1824FCF0"/>
    <w:rsid w:val="18721B6B"/>
    <w:rsid w:val="189DE083"/>
    <w:rsid w:val="18A379E6"/>
    <w:rsid w:val="18A3EA20"/>
    <w:rsid w:val="18A68628"/>
    <w:rsid w:val="18AB8EAA"/>
    <w:rsid w:val="18C4E6EF"/>
    <w:rsid w:val="18F6F0B7"/>
    <w:rsid w:val="18FCAA95"/>
    <w:rsid w:val="19079313"/>
    <w:rsid w:val="19085B68"/>
    <w:rsid w:val="191A3717"/>
    <w:rsid w:val="193BA026"/>
    <w:rsid w:val="193D309C"/>
    <w:rsid w:val="196818EE"/>
    <w:rsid w:val="197B7E57"/>
    <w:rsid w:val="19BAE9E0"/>
    <w:rsid w:val="19BC5E60"/>
    <w:rsid w:val="19D771ED"/>
    <w:rsid w:val="19F18293"/>
    <w:rsid w:val="1A011000"/>
    <w:rsid w:val="1A0F169A"/>
    <w:rsid w:val="1A1A4C1A"/>
    <w:rsid w:val="1A24C124"/>
    <w:rsid w:val="1A335DC7"/>
    <w:rsid w:val="1A50425B"/>
    <w:rsid w:val="1A5970FA"/>
    <w:rsid w:val="1A5A130E"/>
    <w:rsid w:val="1A6C2B76"/>
    <w:rsid w:val="1A93B14D"/>
    <w:rsid w:val="1A96CC74"/>
    <w:rsid w:val="1AC5FD54"/>
    <w:rsid w:val="1AEDC088"/>
    <w:rsid w:val="1B06C9B3"/>
    <w:rsid w:val="1B06EDC4"/>
    <w:rsid w:val="1B0CF11D"/>
    <w:rsid w:val="1B1B8AA3"/>
    <w:rsid w:val="1B330D3A"/>
    <w:rsid w:val="1B77EC52"/>
    <w:rsid w:val="1B862943"/>
    <w:rsid w:val="1BB7A24E"/>
    <w:rsid w:val="1BDB8AE2"/>
    <w:rsid w:val="1BE2BF01"/>
    <w:rsid w:val="1BE59F52"/>
    <w:rsid w:val="1BF8FD19"/>
    <w:rsid w:val="1C3DE919"/>
    <w:rsid w:val="1C64E88F"/>
    <w:rsid w:val="1C79D5DF"/>
    <w:rsid w:val="1C8B159C"/>
    <w:rsid w:val="1CB3999C"/>
    <w:rsid w:val="1CBB643B"/>
    <w:rsid w:val="1CC5A0DA"/>
    <w:rsid w:val="1CC6E53A"/>
    <w:rsid w:val="1CF9723F"/>
    <w:rsid w:val="1D0662F1"/>
    <w:rsid w:val="1D0E8367"/>
    <w:rsid w:val="1D2D93A7"/>
    <w:rsid w:val="1D44775D"/>
    <w:rsid w:val="1D583D20"/>
    <w:rsid w:val="1D64A83F"/>
    <w:rsid w:val="1D8A042D"/>
    <w:rsid w:val="1DA91C4D"/>
    <w:rsid w:val="1DB19E1F"/>
    <w:rsid w:val="1DD5BC47"/>
    <w:rsid w:val="1DDD4118"/>
    <w:rsid w:val="1DE63310"/>
    <w:rsid w:val="1DF61A1C"/>
    <w:rsid w:val="1E00B8F0"/>
    <w:rsid w:val="1E0BCD0D"/>
    <w:rsid w:val="1E20717C"/>
    <w:rsid w:val="1E26BB4B"/>
    <w:rsid w:val="1E3724B5"/>
    <w:rsid w:val="1E52DE70"/>
    <w:rsid w:val="1E606CEC"/>
    <w:rsid w:val="1E639377"/>
    <w:rsid w:val="1E8D9DD9"/>
    <w:rsid w:val="1EEBF568"/>
    <w:rsid w:val="1F29F02F"/>
    <w:rsid w:val="1F2C853B"/>
    <w:rsid w:val="1F31480E"/>
    <w:rsid w:val="1F436055"/>
    <w:rsid w:val="1F4444D6"/>
    <w:rsid w:val="1F8B3353"/>
    <w:rsid w:val="1F981D53"/>
    <w:rsid w:val="1FE8DEF7"/>
    <w:rsid w:val="1FF2C81B"/>
    <w:rsid w:val="2004F9AA"/>
    <w:rsid w:val="200E49A2"/>
    <w:rsid w:val="20110307"/>
    <w:rsid w:val="2011CBB2"/>
    <w:rsid w:val="20245BC3"/>
    <w:rsid w:val="204AD604"/>
    <w:rsid w:val="205352B6"/>
    <w:rsid w:val="20756A68"/>
    <w:rsid w:val="20775D99"/>
    <w:rsid w:val="20855E9B"/>
    <w:rsid w:val="20A5B8C8"/>
    <w:rsid w:val="20D66AE0"/>
    <w:rsid w:val="210595AA"/>
    <w:rsid w:val="2106109B"/>
    <w:rsid w:val="214AE9C6"/>
    <w:rsid w:val="215CB18C"/>
    <w:rsid w:val="2161230A"/>
    <w:rsid w:val="216586F7"/>
    <w:rsid w:val="2177A82F"/>
    <w:rsid w:val="2177AF2F"/>
    <w:rsid w:val="21827956"/>
    <w:rsid w:val="2186B5F3"/>
    <w:rsid w:val="21892661"/>
    <w:rsid w:val="21ADF75C"/>
    <w:rsid w:val="21D38909"/>
    <w:rsid w:val="21D864F6"/>
    <w:rsid w:val="21F2595A"/>
    <w:rsid w:val="22069823"/>
    <w:rsid w:val="22299FE3"/>
    <w:rsid w:val="2236D7C8"/>
    <w:rsid w:val="2241034C"/>
    <w:rsid w:val="224D13B9"/>
    <w:rsid w:val="224F2CAC"/>
    <w:rsid w:val="2253DC42"/>
    <w:rsid w:val="225E94F6"/>
    <w:rsid w:val="22A31555"/>
    <w:rsid w:val="22A561D6"/>
    <w:rsid w:val="22B6A938"/>
    <w:rsid w:val="22BBEB89"/>
    <w:rsid w:val="22DB4DD6"/>
    <w:rsid w:val="22DEFC91"/>
    <w:rsid w:val="2307565A"/>
    <w:rsid w:val="235BFC85"/>
    <w:rsid w:val="235C613D"/>
    <w:rsid w:val="2370E6AB"/>
    <w:rsid w:val="237E640C"/>
    <w:rsid w:val="238922DF"/>
    <w:rsid w:val="2398B51C"/>
    <w:rsid w:val="23AF1A6C"/>
    <w:rsid w:val="23B80411"/>
    <w:rsid w:val="23C3FC67"/>
    <w:rsid w:val="23C77EA4"/>
    <w:rsid w:val="23D4A318"/>
    <w:rsid w:val="23F8E44D"/>
    <w:rsid w:val="2420E382"/>
    <w:rsid w:val="2433572A"/>
    <w:rsid w:val="24347744"/>
    <w:rsid w:val="24390E2B"/>
    <w:rsid w:val="243EE9BF"/>
    <w:rsid w:val="24421FC3"/>
    <w:rsid w:val="246BA05A"/>
    <w:rsid w:val="247A6463"/>
    <w:rsid w:val="24844E0F"/>
    <w:rsid w:val="248928BC"/>
    <w:rsid w:val="24AFC73A"/>
    <w:rsid w:val="24B39C12"/>
    <w:rsid w:val="24B7C41B"/>
    <w:rsid w:val="24C0C723"/>
    <w:rsid w:val="24DF6CD1"/>
    <w:rsid w:val="24F3B5D5"/>
    <w:rsid w:val="24F59BB9"/>
    <w:rsid w:val="24FB2E6B"/>
    <w:rsid w:val="253106F2"/>
    <w:rsid w:val="255CA373"/>
    <w:rsid w:val="25969B90"/>
    <w:rsid w:val="259D8CEF"/>
    <w:rsid w:val="25B04BDD"/>
    <w:rsid w:val="25B92244"/>
    <w:rsid w:val="25DFB163"/>
    <w:rsid w:val="25EC061A"/>
    <w:rsid w:val="25F51A54"/>
    <w:rsid w:val="2623FF69"/>
    <w:rsid w:val="264F0F86"/>
    <w:rsid w:val="26535AC3"/>
    <w:rsid w:val="26A94542"/>
    <w:rsid w:val="26B0FE42"/>
    <w:rsid w:val="26B1C1AD"/>
    <w:rsid w:val="26E1141E"/>
    <w:rsid w:val="2702EE24"/>
    <w:rsid w:val="270B973B"/>
    <w:rsid w:val="272DB884"/>
    <w:rsid w:val="27323DE2"/>
    <w:rsid w:val="2738BEDB"/>
    <w:rsid w:val="2759077F"/>
    <w:rsid w:val="275920B6"/>
    <w:rsid w:val="2763FDC6"/>
    <w:rsid w:val="2765FFBF"/>
    <w:rsid w:val="276C701E"/>
    <w:rsid w:val="27744639"/>
    <w:rsid w:val="2775F9CF"/>
    <w:rsid w:val="279B5497"/>
    <w:rsid w:val="27A16BCA"/>
    <w:rsid w:val="27A9A53E"/>
    <w:rsid w:val="27BBB693"/>
    <w:rsid w:val="27CB179B"/>
    <w:rsid w:val="27D85089"/>
    <w:rsid w:val="27E3ADDB"/>
    <w:rsid w:val="27E6E9B3"/>
    <w:rsid w:val="280C21EE"/>
    <w:rsid w:val="282F6DA8"/>
    <w:rsid w:val="2833DB5B"/>
    <w:rsid w:val="283FF2BF"/>
    <w:rsid w:val="28550E14"/>
    <w:rsid w:val="2860B6CD"/>
    <w:rsid w:val="28964433"/>
    <w:rsid w:val="28A2AC53"/>
    <w:rsid w:val="28B1CBC9"/>
    <w:rsid w:val="28BBC72A"/>
    <w:rsid w:val="28BDFA41"/>
    <w:rsid w:val="28CC0FE0"/>
    <w:rsid w:val="28DC21F1"/>
    <w:rsid w:val="28E54AFC"/>
    <w:rsid w:val="2903DE38"/>
    <w:rsid w:val="2906D60A"/>
    <w:rsid w:val="290B1DD0"/>
    <w:rsid w:val="2910169A"/>
    <w:rsid w:val="2930C09E"/>
    <w:rsid w:val="29370858"/>
    <w:rsid w:val="295AD7B7"/>
    <w:rsid w:val="295DFE0C"/>
    <w:rsid w:val="2966E7FC"/>
    <w:rsid w:val="297E7146"/>
    <w:rsid w:val="29812CB2"/>
    <w:rsid w:val="29E05108"/>
    <w:rsid w:val="29E069C4"/>
    <w:rsid w:val="2A16ACCA"/>
    <w:rsid w:val="2A3C6EB9"/>
    <w:rsid w:val="2A69DEA4"/>
    <w:rsid w:val="2A7EE6C6"/>
    <w:rsid w:val="2A82A488"/>
    <w:rsid w:val="2AA1A039"/>
    <w:rsid w:val="2AAA6201"/>
    <w:rsid w:val="2AD47D3A"/>
    <w:rsid w:val="2AEFC910"/>
    <w:rsid w:val="2B066709"/>
    <w:rsid w:val="2B21BA18"/>
    <w:rsid w:val="2B24239D"/>
    <w:rsid w:val="2B53B5AE"/>
    <w:rsid w:val="2B549F33"/>
    <w:rsid w:val="2B803680"/>
    <w:rsid w:val="2B8736A3"/>
    <w:rsid w:val="2B8DCDE4"/>
    <w:rsid w:val="2B8E8253"/>
    <w:rsid w:val="2B8F2037"/>
    <w:rsid w:val="2BA33B0C"/>
    <w:rsid w:val="2BA56B28"/>
    <w:rsid w:val="2BB6A507"/>
    <w:rsid w:val="2BF41679"/>
    <w:rsid w:val="2C09C96A"/>
    <w:rsid w:val="2C184C0A"/>
    <w:rsid w:val="2C2332D2"/>
    <w:rsid w:val="2C2AB564"/>
    <w:rsid w:val="2C3222A4"/>
    <w:rsid w:val="2C3356BD"/>
    <w:rsid w:val="2C7A9376"/>
    <w:rsid w:val="2CB15904"/>
    <w:rsid w:val="2CBAE1BD"/>
    <w:rsid w:val="2CC37128"/>
    <w:rsid w:val="2D34BB1D"/>
    <w:rsid w:val="2D4ED460"/>
    <w:rsid w:val="2D881CA7"/>
    <w:rsid w:val="2DB762AF"/>
    <w:rsid w:val="2DEE227C"/>
    <w:rsid w:val="2DEF7827"/>
    <w:rsid w:val="2E04D8C7"/>
    <w:rsid w:val="2E227FFC"/>
    <w:rsid w:val="2E67E1CD"/>
    <w:rsid w:val="2E77B694"/>
    <w:rsid w:val="2E968407"/>
    <w:rsid w:val="2EA0F2CA"/>
    <w:rsid w:val="2EAE98F6"/>
    <w:rsid w:val="2EB263B1"/>
    <w:rsid w:val="2EB9E01B"/>
    <w:rsid w:val="2ECA451C"/>
    <w:rsid w:val="2ECBF2CE"/>
    <w:rsid w:val="2EDB47B0"/>
    <w:rsid w:val="2EE13B66"/>
    <w:rsid w:val="2EE68B42"/>
    <w:rsid w:val="2F52717C"/>
    <w:rsid w:val="2F6F6444"/>
    <w:rsid w:val="2F71C3DA"/>
    <w:rsid w:val="2FA9B63D"/>
    <w:rsid w:val="2FB3E593"/>
    <w:rsid w:val="2FD9E02B"/>
    <w:rsid w:val="2FDFB466"/>
    <w:rsid w:val="302726D1"/>
    <w:rsid w:val="302970CF"/>
    <w:rsid w:val="30325468"/>
    <w:rsid w:val="3036019F"/>
    <w:rsid w:val="304A1A09"/>
    <w:rsid w:val="304CD4C4"/>
    <w:rsid w:val="305F1231"/>
    <w:rsid w:val="30658FB5"/>
    <w:rsid w:val="30771B3E"/>
    <w:rsid w:val="307B95B8"/>
    <w:rsid w:val="3095F632"/>
    <w:rsid w:val="30991EA8"/>
    <w:rsid w:val="30B3D29C"/>
    <w:rsid w:val="30E27004"/>
    <w:rsid w:val="30E58649"/>
    <w:rsid w:val="30E5BE8B"/>
    <w:rsid w:val="30E6C168"/>
    <w:rsid w:val="30FAAE57"/>
    <w:rsid w:val="310481A0"/>
    <w:rsid w:val="310DB1E3"/>
    <w:rsid w:val="3110B130"/>
    <w:rsid w:val="3123AD7E"/>
    <w:rsid w:val="314117AD"/>
    <w:rsid w:val="31520CFD"/>
    <w:rsid w:val="315E15D8"/>
    <w:rsid w:val="31629AC2"/>
    <w:rsid w:val="3164A49A"/>
    <w:rsid w:val="317E8F52"/>
    <w:rsid w:val="3193F705"/>
    <w:rsid w:val="319F8FA8"/>
    <w:rsid w:val="31BB6BC1"/>
    <w:rsid w:val="31D15060"/>
    <w:rsid w:val="31D79F96"/>
    <w:rsid w:val="31DE18D0"/>
    <w:rsid w:val="31E92F04"/>
    <w:rsid w:val="3201F0C3"/>
    <w:rsid w:val="320E0AB2"/>
    <w:rsid w:val="321134BC"/>
    <w:rsid w:val="32176619"/>
    <w:rsid w:val="322D2368"/>
    <w:rsid w:val="324C9B31"/>
    <w:rsid w:val="32790DA5"/>
    <w:rsid w:val="32798FEE"/>
    <w:rsid w:val="327C46E0"/>
    <w:rsid w:val="3281F162"/>
    <w:rsid w:val="328E8437"/>
    <w:rsid w:val="329A8FAF"/>
    <w:rsid w:val="32A2F436"/>
    <w:rsid w:val="32B0E929"/>
    <w:rsid w:val="32B5A426"/>
    <w:rsid w:val="32B87824"/>
    <w:rsid w:val="32CBABFA"/>
    <w:rsid w:val="3309BC11"/>
    <w:rsid w:val="330ACEA3"/>
    <w:rsid w:val="33298F61"/>
    <w:rsid w:val="33533C7F"/>
    <w:rsid w:val="33600445"/>
    <w:rsid w:val="338D513E"/>
    <w:rsid w:val="339A7360"/>
    <w:rsid w:val="33CCC729"/>
    <w:rsid w:val="33EB1580"/>
    <w:rsid w:val="33EE23E2"/>
    <w:rsid w:val="341C364F"/>
    <w:rsid w:val="341E622A"/>
    <w:rsid w:val="3423B342"/>
    <w:rsid w:val="342A4E20"/>
    <w:rsid w:val="343420CF"/>
    <w:rsid w:val="343C7F0C"/>
    <w:rsid w:val="3489CCF2"/>
    <w:rsid w:val="34979FE9"/>
    <w:rsid w:val="34BBD4F2"/>
    <w:rsid w:val="34D803CE"/>
    <w:rsid w:val="34DED873"/>
    <w:rsid w:val="34E9F15C"/>
    <w:rsid w:val="351AE5D2"/>
    <w:rsid w:val="35244363"/>
    <w:rsid w:val="3541936A"/>
    <w:rsid w:val="356BC0D7"/>
    <w:rsid w:val="35735975"/>
    <w:rsid w:val="3573EA45"/>
    <w:rsid w:val="357A2227"/>
    <w:rsid w:val="358C89DA"/>
    <w:rsid w:val="359F9DA2"/>
    <w:rsid w:val="35AAD878"/>
    <w:rsid w:val="35C5B775"/>
    <w:rsid w:val="35D23071"/>
    <w:rsid w:val="35F15706"/>
    <w:rsid w:val="35F51114"/>
    <w:rsid w:val="3606258F"/>
    <w:rsid w:val="360AB097"/>
    <w:rsid w:val="3612F2AE"/>
    <w:rsid w:val="362E4C56"/>
    <w:rsid w:val="3635B261"/>
    <w:rsid w:val="36415CD3"/>
    <w:rsid w:val="36554CC9"/>
    <w:rsid w:val="3667267B"/>
    <w:rsid w:val="3688F772"/>
    <w:rsid w:val="36931994"/>
    <w:rsid w:val="36A0543E"/>
    <w:rsid w:val="36B2F143"/>
    <w:rsid w:val="36BF0CB7"/>
    <w:rsid w:val="36D82787"/>
    <w:rsid w:val="36F3BA08"/>
    <w:rsid w:val="37106B66"/>
    <w:rsid w:val="3710C907"/>
    <w:rsid w:val="371ECE86"/>
    <w:rsid w:val="37421D97"/>
    <w:rsid w:val="37557A6A"/>
    <w:rsid w:val="3778D3D4"/>
    <w:rsid w:val="3782D463"/>
    <w:rsid w:val="37833D72"/>
    <w:rsid w:val="37B1A56D"/>
    <w:rsid w:val="37C30C05"/>
    <w:rsid w:val="37CD3DB3"/>
    <w:rsid w:val="37EFDDC6"/>
    <w:rsid w:val="38047415"/>
    <w:rsid w:val="381D9C72"/>
    <w:rsid w:val="3820AEEF"/>
    <w:rsid w:val="38260957"/>
    <w:rsid w:val="3849065D"/>
    <w:rsid w:val="384CFB6C"/>
    <w:rsid w:val="386F6C09"/>
    <w:rsid w:val="38A3FD80"/>
    <w:rsid w:val="38BF21F2"/>
    <w:rsid w:val="38D1EC89"/>
    <w:rsid w:val="38D28918"/>
    <w:rsid w:val="38DB1692"/>
    <w:rsid w:val="38DBF31B"/>
    <w:rsid w:val="38E7033D"/>
    <w:rsid w:val="38EFEFDE"/>
    <w:rsid w:val="3913EAD6"/>
    <w:rsid w:val="3918DC64"/>
    <w:rsid w:val="392A3005"/>
    <w:rsid w:val="392EF6F1"/>
    <w:rsid w:val="394D08EA"/>
    <w:rsid w:val="395AC1A2"/>
    <w:rsid w:val="39625630"/>
    <w:rsid w:val="3986B3CB"/>
    <w:rsid w:val="398B18E8"/>
    <w:rsid w:val="399220CB"/>
    <w:rsid w:val="39953999"/>
    <w:rsid w:val="3999DFAC"/>
    <w:rsid w:val="39A9D864"/>
    <w:rsid w:val="39B5999D"/>
    <w:rsid w:val="39D91FEE"/>
    <w:rsid w:val="39E6779F"/>
    <w:rsid w:val="39E94F59"/>
    <w:rsid w:val="39F53199"/>
    <w:rsid w:val="3A0C48E9"/>
    <w:rsid w:val="3A155D88"/>
    <w:rsid w:val="3A16310E"/>
    <w:rsid w:val="3A216DA3"/>
    <w:rsid w:val="3A3AEB9B"/>
    <w:rsid w:val="3A46FF47"/>
    <w:rsid w:val="3A5A78AC"/>
    <w:rsid w:val="3A7941A2"/>
    <w:rsid w:val="3A7BC40D"/>
    <w:rsid w:val="3A87EFF4"/>
    <w:rsid w:val="3A97DEFB"/>
    <w:rsid w:val="3A9EF3E4"/>
    <w:rsid w:val="3AADE34F"/>
    <w:rsid w:val="3AC74170"/>
    <w:rsid w:val="3ADF783D"/>
    <w:rsid w:val="3AF12155"/>
    <w:rsid w:val="3B0DD803"/>
    <w:rsid w:val="3B42BDBB"/>
    <w:rsid w:val="3B70A000"/>
    <w:rsid w:val="3B9F433B"/>
    <w:rsid w:val="3BAD85E2"/>
    <w:rsid w:val="3BC89F9D"/>
    <w:rsid w:val="3BE1103C"/>
    <w:rsid w:val="3BE2134B"/>
    <w:rsid w:val="3C386AB1"/>
    <w:rsid w:val="3C46FBE7"/>
    <w:rsid w:val="3C7CD67D"/>
    <w:rsid w:val="3C7D0646"/>
    <w:rsid w:val="3C876819"/>
    <w:rsid w:val="3CB1E62C"/>
    <w:rsid w:val="3CB7FB60"/>
    <w:rsid w:val="3CC2224B"/>
    <w:rsid w:val="3CCD9B86"/>
    <w:rsid w:val="3CEDBE2E"/>
    <w:rsid w:val="3D16D581"/>
    <w:rsid w:val="3D242B25"/>
    <w:rsid w:val="3D902792"/>
    <w:rsid w:val="3D9B5DF7"/>
    <w:rsid w:val="3DAE6DCE"/>
    <w:rsid w:val="3DBC10CE"/>
    <w:rsid w:val="3DBEE6F7"/>
    <w:rsid w:val="3DC29614"/>
    <w:rsid w:val="3DD1D67F"/>
    <w:rsid w:val="3DD43B12"/>
    <w:rsid w:val="3E2CBEBB"/>
    <w:rsid w:val="3E2DD52F"/>
    <w:rsid w:val="3E39E86B"/>
    <w:rsid w:val="3E75C9D6"/>
    <w:rsid w:val="3E83466B"/>
    <w:rsid w:val="3E86BE84"/>
    <w:rsid w:val="3E8F3608"/>
    <w:rsid w:val="3EB36EF6"/>
    <w:rsid w:val="3EC5754E"/>
    <w:rsid w:val="3ED74773"/>
    <w:rsid w:val="3EE2C6C7"/>
    <w:rsid w:val="3EE55E7A"/>
    <w:rsid w:val="3EFB0E7A"/>
    <w:rsid w:val="3EFBBF8C"/>
    <w:rsid w:val="3F0AAB0E"/>
    <w:rsid w:val="3F2C555F"/>
    <w:rsid w:val="3F5072ED"/>
    <w:rsid w:val="3F80A1CB"/>
    <w:rsid w:val="3F8D1053"/>
    <w:rsid w:val="3F9B56B1"/>
    <w:rsid w:val="3FA87071"/>
    <w:rsid w:val="3FB681C2"/>
    <w:rsid w:val="3FC4A026"/>
    <w:rsid w:val="3FD0E8FA"/>
    <w:rsid w:val="3FE2140A"/>
    <w:rsid w:val="3FE69517"/>
    <w:rsid w:val="3FF221A0"/>
    <w:rsid w:val="4004D367"/>
    <w:rsid w:val="400BE60C"/>
    <w:rsid w:val="400C43E0"/>
    <w:rsid w:val="4014ECE5"/>
    <w:rsid w:val="40384A0F"/>
    <w:rsid w:val="404844D8"/>
    <w:rsid w:val="4082E85F"/>
    <w:rsid w:val="4083ADE0"/>
    <w:rsid w:val="40986C26"/>
    <w:rsid w:val="40CFA4D8"/>
    <w:rsid w:val="40D2D4C0"/>
    <w:rsid w:val="40D3F910"/>
    <w:rsid w:val="40E29669"/>
    <w:rsid w:val="40E29DB7"/>
    <w:rsid w:val="40F8CB08"/>
    <w:rsid w:val="4165D387"/>
    <w:rsid w:val="417948EC"/>
    <w:rsid w:val="418FCFA0"/>
    <w:rsid w:val="41B5380A"/>
    <w:rsid w:val="41D64DE9"/>
    <w:rsid w:val="41F8772D"/>
    <w:rsid w:val="41FF0206"/>
    <w:rsid w:val="4200B716"/>
    <w:rsid w:val="4221E2E3"/>
    <w:rsid w:val="422CB377"/>
    <w:rsid w:val="42343C87"/>
    <w:rsid w:val="424D82BA"/>
    <w:rsid w:val="429E6824"/>
    <w:rsid w:val="429FEA2E"/>
    <w:rsid w:val="42A52A27"/>
    <w:rsid w:val="42E5B0E3"/>
    <w:rsid w:val="42F037DA"/>
    <w:rsid w:val="42F39ADB"/>
    <w:rsid w:val="42FA493A"/>
    <w:rsid w:val="430A3C10"/>
    <w:rsid w:val="431C5AF5"/>
    <w:rsid w:val="4326A317"/>
    <w:rsid w:val="432E8AFC"/>
    <w:rsid w:val="433D93B9"/>
    <w:rsid w:val="433E0175"/>
    <w:rsid w:val="43554420"/>
    <w:rsid w:val="4360E886"/>
    <w:rsid w:val="439661B0"/>
    <w:rsid w:val="43D00CE8"/>
    <w:rsid w:val="43D60CC8"/>
    <w:rsid w:val="43D6B65A"/>
    <w:rsid w:val="43DCB31D"/>
    <w:rsid w:val="43EC5066"/>
    <w:rsid w:val="43F9F8E4"/>
    <w:rsid w:val="441261B2"/>
    <w:rsid w:val="441E9D67"/>
    <w:rsid w:val="442376B8"/>
    <w:rsid w:val="44268003"/>
    <w:rsid w:val="4429EB4E"/>
    <w:rsid w:val="444D47B2"/>
    <w:rsid w:val="44562516"/>
    <w:rsid w:val="446F7D9E"/>
    <w:rsid w:val="4482307F"/>
    <w:rsid w:val="44B53871"/>
    <w:rsid w:val="4505AF9C"/>
    <w:rsid w:val="450F1B5E"/>
    <w:rsid w:val="452E2D66"/>
    <w:rsid w:val="45366A67"/>
    <w:rsid w:val="4543662A"/>
    <w:rsid w:val="45597B65"/>
    <w:rsid w:val="457412B4"/>
    <w:rsid w:val="457E5BC2"/>
    <w:rsid w:val="457FBFB6"/>
    <w:rsid w:val="45958090"/>
    <w:rsid w:val="45AC79C2"/>
    <w:rsid w:val="45BC6ADD"/>
    <w:rsid w:val="4605BB63"/>
    <w:rsid w:val="460C3140"/>
    <w:rsid w:val="461012A8"/>
    <w:rsid w:val="4614E2B9"/>
    <w:rsid w:val="461B7784"/>
    <w:rsid w:val="4620B63C"/>
    <w:rsid w:val="46256E8A"/>
    <w:rsid w:val="46302F27"/>
    <w:rsid w:val="46379100"/>
    <w:rsid w:val="464E092F"/>
    <w:rsid w:val="46795657"/>
    <w:rsid w:val="467FC6F8"/>
    <w:rsid w:val="4686A0BE"/>
    <w:rsid w:val="469B5148"/>
    <w:rsid w:val="46AD3367"/>
    <w:rsid w:val="46AEAA04"/>
    <w:rsid w:val="46BB6AAD"/>
    <w:rsid w:val="46C2560A"/>
    <w:rsid w:val="46D6933C"/>
    <w:rsid w:val="4709DFC8"/>
    <w:rsid w:val="47163EFC"/>
    <w:rsid w:val="4755514B"/>
    <w:rsid w:val="475728BA"/>
    <w:rsid w:val="4759E58D"/>
    <w:rsid w:val="476FEC04"/>
    <w:rsid w:val="4778A872"/>
    <w:rsid w:val="4787DCEC"/>
    <w:rsid w:val="47A37C65"/>
    <w:rsid w:val="48037431"/>
    <w:rsid w:val="480BC46B"/>
    <w:rsid w:val="480C169D"/>
    <w:rsid w:val="484148B7"/>
    <w:rsid w:val="486C4AC1"/>
    <w:rsid w:val="487E532C"/>
    <w:rsid w:val="488AC4B1"/>
    <w:rsid w:val="48A2EE68"/>
    <w:rsid w:val="48C179AC"/>
    <w:rsid w:val="48CABEF6"/>
    <w:rsid w:val="48D95E3F"/>
    <w:rsid w:val="48E3E20A"/>
    <w:rsid w:val="48EE4AA5"/>
    <w:rsid w:val="49044218"/>
    <w:rsid w:val="4904CF8B"/>
    <w:rsid w:val="4917B1A6"/>
    <w:rsid w:val="491A70D9"/>
    <w:rsid w:val="493270C2"/>
    <w:rsid w:val="4943D19A"/>
    <w:rsid w:val="494F7DCD"/>
    <w:rsid w:val="49639374"/>
    <w:rsid w:val="4984001B"/>
    <w:rsid w:val="49A8DBBB"/>
    <w:rsid w:val="49ACAD0B"/>
    <w:rsid w:val="49B630DB"/>
    <w:rsid w:val="49F24B58"/>
    <w:rsid w:val="49F2E44B"/>
    <w:rsid w:val="4A1AC26F"/>
    <w:rsid w:val="4A2664AD"/>
    <w:rsid w:val="4A913A68"/>
    <w:rsid w:val="4AAE3CBC"/>
    <w:rsid w:val="4AFC2DCD"/>
    <w:rsid w:val="4B2479F5"/>
    <w:rsid w:val="4B2C622A"/>
    <w:rsid w:val="4B310B5F"/>
    <w:rsid w:val="4B319550"/>
    <w:rsid w:val="4B462C2A"/>
    <w:rsid w:val="4B51CC72"/>
    <w:rsid w:val="4B553891"/>
    <w:rsid w:val="4B6CCFCE"/>
    <w:rsid w:val="4B6FE86C"/>
    <w:rsid w:val="4B86784B"/>
    <w:rsid w:val="4B894441"/>
    <w:rsid w:val="4BA5118E"/>
    <w:rsid w:val="4BC56665"/>
    <w:rsid w:val="4BCEF9CF"/>
    <w:rsid w:val="4BE6561A"/>
    <w:rsid w:val="4C17CF9B"/>
    <w:rsid w:val="4C25F456"/>
    <w:rsid w:val="4C4BC27A"/>
    <w:rsid w:val="4C5800B4"/>
    <w:rsid w:val="4C59FD98"/>
    <w:rsid w:val="4C5AC5C7"/>
    <w:rsid w:val="4C7691EF"/>
    <w:rsid w:val="4CF3D4EF"/>
    <w:rsid w:val="4CF7247D"/>
    <w:rsid w:val="4CFE4E3E"/>
    <w:rsid w:val="4D08E7C4"/>
    <w:rsid w:val="4D13ADB9"/>
    <w:rsid w:val="4D1488BE"/>
    <w:rsid w:val="4D201677"/>
    <w:rsid w:val="4D4382FA"/>
    <w:rsid w:val="4D79ADF1"/>
    <w:rsid w:val="4D8A6301"/>
    <w:rsid w:val="4DA79819"/>
    <w:rsid w:val="4DABCE20"/>
    <w:rsid w:val="4DC0F881"/>
    <w:rsid w:val="4E24F1E4"/>
    <w:rsid w:val="4E28B95D"/>
    <w:rsid w:val="4E38166B"/>
    <w:rsid w:val="4E439092"/>
    <w:rsid w:val="4E4831A5"/>
    <w:rsid w:val="4E5495D1"/>
    <w:rsid w:val="4E57FE19"/>
    <w:rsid w:val="4E5EADF7"/>
    <w:rsid w:val="4E6EF631"/>
    <w:rsid w:val="4E7954C2"/>
    <w:rsid w:val="4E82EAE1"/>
    <w:rsid w:val="4E930C4E"/>
    <w:rsid w:val="4EA79FDF"/>
    <w:rsid w:val="4EB602D0"/>
    <w:rsid w:val="4EDB1323"/>
    <w:rsid w:val="4EFB9FE1"/>
    <w:rsid w:val="4F08CF7D"/>
    <w:rsid w:val="4F12E069"/>
    <w:rsid w:val="4F2C102E"/>
    <w:rsid w:val="4F2DD316"/>
    <w:rsid w:val="4F6C6C17"/>
    <w:rsid w:val="4F73F6BC"/>
    <w:rsid w:val="4F8EE4CF"/>
    <w:rsid w:val="4F93754C"/>
    <w:rsid w:val="4F9511FF"/>
    <w:rsid w:val="4F980913"/>
    <w:rsid w:val="4FA4FF9A"/>
    <w:rsid w:val="4FC9C43C"/>
    <w:rsid w:val="5003FD64"/>
    <w:rsid w:val="500B5AB7"/>
    <w:rsid w:val="502CB323"/>
    <w:rsid w:val="504A5376"/>
    <w:rsid w:val="504C8BDE"/>
    <w:rsid w:val="5051D331"/>
    <w:rsid w:val="5099184B"/>
    <w:rsid w:val="50A14225"/>
    <w:rsid w:val="50B96B67"/>
    <w:rsid w:val="50C4C666"/>
    <w:rsid w:val="50E2409D"/>
    <w:rsid w:val="50EB5EA8"/>
    <w:rsid w:val="50EBE731"/>
    <w:rsid w:val="50F30594"/>
    <w:rsid w:val="5111EDF2"/>
    <w:rsid w:val="5125B6EA"/>
    <w:rsid w:val="51391FD2"/>
    <w:rsid w:val="513AA3FB"/>
    <w:rsid w:val="513BC2E0"/>
    <w:rsid w:val="5148A9EF"/>
    <w:rsid w:val="51557623"/>
    <w:rsid w:val="516536F3"/>
    <w:rsid w:val="51822F2B"/>
    <w:rsid w:val="51842695"/>
    <w:rsid w:val="51932083"/>
    <w:rsid w:val="51955B84"/>
    <w:rsid w:val="519AE41F"/>
    <w:rsid w:val="51A45B5A"/>
    <w:rsid w:val="51A696F3"/>
    <w:rsid w:val="51AE25CA"/>
    <w:rsid w:val="51EAC9F6"/>
    <w:rsid w:val="51EB2F4D"/>
    <w:rsid w:val="51FE31E5"/>
    <w:rsid w:val="5283CC86"/>
    <w:rsid w:val="529034AA"/>
    <w:rsid w:val="52981E4D"/>
    <w:rsid w:val="52992921"/>
    <w:rsid w:val="529A3FE1"/>
    <w:rsid w:val="529C448B"/>
    <w:rsid w:val="52B14608"/>
    <w:rsid w:val="52C64463"/>
    <w:rsid w:val="53579A39"/>
    <w:rsid w:val="5362913E"/>
    <w:rsid w:val="536D7907"/>
    <w:rsid w:val="53853DCA"/>
    <w:rsid w:val="539D8200"/>
    <w:rsid w:val="53B1EA56"/>
    <w:rsid w:val="53C8A6F4"/>
    <w:rsid w:val="53E32878"/>
    <w:rsid w:val="53EE1E38"/>
    <w:rsid w:val="5411E610"/>
    <w:rsid w:val="542544AF"/>
    <w:rsid w:val="543266F0"/>
    <w:rsid w:val="544D124C"/>
    <w:rsid w:val="547B0B0B"/>
    <w:rsid w:val="54816F92"/>
    <w:rsid w:val="54A0710B"/>
    <w:rsid w:val="54BCE65F"/>
    <w:rsid w:val="54D122D3"/>
    <w:rsid w:val="54FC6702"/>
    <w:rsid w:val="5516E163"/>
    <w:rsid w:val="551F8A7F"/>
    <w:rsid w:val="552326D7"/>
    <w:rsid w:val="555175BF"/>
    <w:rsid w:val="55700D26"/>
    <w:rsid w:val="558AD428"/>
    <w:rsid w:val="55A579D6"/>
    <w:rsid w:val="55D62622"/>
    <w:rsid w:val="55DB51A7"/>
    <w:rsid w:val="55EE6CC1"/>
    <w:rsid w:val="560DC9C8"/>
    <w:rsid w:val="561009EB"/>
    <w:rsid w:val="561818E1"/>
    <w:rsid w:val="5633F6A9"/>
    <w:rsid w:val="5642F4E2"/>
    <w:rsid w:val="5650D753"/>
    <w:rsid w:val="565C5A3E"/>
    <w:rsid w:val="5684075C"/>
    <w:rsid w:val="5691D20D"/>
    <w:rsid w:val="5698E433"/>
    <w:rsid w:val="56A0C982"/>
    <w:rsid w:val="56AF0254"/>
    <w:rsid w:val="56B63E7B"/>
    <w:rsid w:val="56BCED8C"/>
    <w:rsid w:val="56C4C17C"/>
    <w:rsid w:val="5703B567"/>
    <w:rsid w:val="570483B6"/>
    <w:rsid w:val="57288F7C"/>
    <w:rsid w:val="572E1A42"/>
    <w:rsid w:val="5730A8F2"/>
    <w:rsid w:val="573E80FF"/>
    <w:rsid w:val="57479593"/>
    <w:rsid w:val="57BA99DE"/>
    <w:rsid w:val="57BDE554"/>
    <w:rsid w:val="57C18DB5"/>
    <w:rsid w:val="57C23C69"/>
    <w:rsid w:val="57C83191"/>
    <w:rsid w:val="57E63CA6"/>
    <w:rsid w:val="580EE2A1"/>
    <w:rsid w:val="58140520"/>
    <w:rsid w:val="581C2590"/>
    <w:rsid w:val="582485C4"/>
    <w:rsid w:val="58539299"/>
    <w:rsid w:val="585C2E6A"/>
    <w:rsid w:val="587C8C7E"/>
    <w:rsid w:val="5898E28D"/>
    <w:rsid w:val="589D9205"/>
    <w:rsid w:val="58DFFE61"/>
    <w:rsid w:val="58F14E90"/>
    <w:rsid w:val="590B563F"/>
    <w:rsid w:val="5912FDFB"/>
    <w:rsid w:val="594185DB"/>
    <w:rsid w:val="59531EB8"/>
    <w:rsid w:val="5960DCF7"/>
    <w:rsid w:val="5964465F"/>
    <w:rsid w:val="59761488"/>
    <w:rsid w:val="59ADBEDE"/>
    <w:rsid w:val="59DCE675"/>
    <w:rsid w:val="59FC4EA6"/>
    <w:rsid w:val="5A020B66"/>
    <w:rsid w:val="5A28D4B9"/>
    <w:rsid w:val="5A646E2C"/>
    <w:rsid w:val="5A67D3AA"/>
    <w:rsid w:val="5A769147"/>
    <w:rsid w:val="5A787223"/>
    <w:rsid w:val="5AE2602B"/>
    <w:rsid w:val="5AF45546"/>
    <w:rsid w:val="5B32D27F"/>
    <w:rsid w:val="5B3651C6"/>
    <w:rsid w:val="5B428B45"/>
    <w:rsid w:val="5B4B8C0F"/>
    <w:rsid w:val="5B565522"/>
    <w:rsid w:val="5B8CBC1A"/>
    <w:rsid w:val="5B99EC99"/>
    <w:rsid w:val="5B9C735E"/>
    <w:rsid w:val="5BADFAB3"/>
    <w:rsid w:val="5BB36898"/>
    <w:rsid w:val="5BB672B5"/>
    <w:rsid w:val="5BC30CAA"/>
    <w:rsid w:val="5BCEDF13"/>
    <w:rsid w:val="5BD75893"/>
    <w:rsid w:val="5BF04B22"/>
    <w:rsid w:val="5BFD6226"/>
    <w:rsid w:val="5BFE0BDC"/>
    <w:rsid w:val="5C0D492D"/>
    <w:rsid w:val="5C24ED9C"/>
    <w:rsid w:val="5C25D836"/>
    <w:rsid w:val="5C28908D"/>
    <w:rsid w:val="5C3BCA04"/>
    <w:rsid w:val="5C5F80CB"/>
    <w:rsid w:val="5C653AD9"/>
    <w:rsid w:val="5CC1AC5E"/>
    <w:rsid w:val="5CC43D78"/>
    <w:rsid w:val="5CE2FC2E"/>
    <w:rsid w:val="5D14FB93"/>
    <w:rsid w:val="5D2EA4E9"/>
    <w:rsid w:val="5D3843BF"/>
    <w:rsid w:val="5D4CAA53"/>
    <w:rsid w:val="5D5C5A0A"/>
    <w:rsid w:val="5D5DFC96"/>
    <w:rsid w:val="5D678BD7"/>
    <w:rsid w:val="5D7C8302"/>
    <w:rsid w:val="5D8FF924"/>
    <w:rsid w:val="5D9575F6"/>
    <w:rsid w:val="5D97BA19"/>
    <w:rsid w:val="5DA04066"/>
    <w:rsid w:val="5DB88E38"/>
    <w:rsid w:val="5DDCA628"/>
    <w:rsid w:val="5DE849E2"/>
    <w:rsid w:val="5E07DCFB"/>
    <w:rsid w:val="5E103072"/>
    <w:rsid w:val="5E15B63B"/>
    <w:rsid w:val="5E3AA32B"/>
    <w:rsid w:val="5E444353"/>
    <w:rsid w:val="5E600DD9"/>
    <w:rsid w:val="5E7978C6"/>
    <w:rsid w:val="5E9CA628"/>
    <w:rsid w:val="5EA85826"/>
    <w:rsid w:val="5EB990C8"/>
    <w:rsid w:val="5EC17788"/>
    <w:rsid w:val="5EC18BF4"/>
    <w:rsid w:val="5EC567ED"/>
    <w:rsid w:val="5F5FF2AB"/>
    <w:rsid w:val="5F6D0F56"/>
    <w:rsid w:val="5F703B90"/>
    <w:rsid w:val="5F71ADEB"/>
    <w:rsid w:val="5F7C5336"/>
    <w:rsid w:val="5F82E024"/>
    <w:rsid w:val="5FB65F33"/>
    <w:rsid w:val="5FBA9379"/>
    <w:rsid w:val="5FD139C3"/>
    <w:rsid w:val="5FD84450"/>
    <w:rsid w:val="5FE112F7"/>
    <w:rsid w:val="5FFBDE3A"/>
    <w:rsid w:val="600E2486"/>
    <w:rsid w:val="600F19C7"/>
    <w:rsid w:val="6015F195"/>
    <w:rsid w:val="602C6E4F"/>
    <w:rsid w:val="60310300"/>
    <w:rsid w:val="60362E8F"/>
    <w:rsid w:val="60574977"/>
    <w:rsid w:val="608437A8"/>
    <w:rsid w:val="6084C375"/>
    <w:rsid w:val="60B91470"/>
    <w:rsid w:val="60BD698F"/>
    <w:rsid w:val="60DC8254"/>
    <w:rsid w:val="60E2C3A6"/>
    <w:rsid w:val="60E6C3CE"/>
    <w:rsid w:val="60E8F432"/>
    <w:rsid w:val="60E9B485"/>
    <w:rsid w:val="61018032"/>
    <w:rsid w:val="610212CA"/>
    <w:rsid w:val="6114DFA0"/>
    <w:rsid w:val="6115A519"/>
    <w:rsid w:val="61286D44"/>
    <w:rsid w:val="613F2B80"/>
    <w:rsid w:val="61839250"/>
    <w:rsid w:val="6190437B"/>
    <w:rsid w:val="619D822C"/>
    <w:rsid w:val="61CA0B10"/>
    <w:rsid w:val="61D1FEF0"/>
    <w:rsid w:val="61DAA8A8"/>
    <w:rsid w:val="6235EECE"/>
    <w:rsid w:val="625971FC"/>
    <w:rsid w:val="627F86D9"/>
    <w:rsid w:val="628E99E5"/>
    <w:rsid w:val="6292DF2A"/>
    <w:rsid w:val="629D0740"/>
    <w:rsid w:val="629E571D"/>
    <w:rsid w:val="62A60494"/>
    <w:rsid w:val="62C236E5"/>
    <w:rsid w:val="62DA79C9"/>
    <w:rsid w:val="6359AF76"/>
    <w:rsid w:val="6372CCDA"/>
    <w:rsid w:val="6394EC92"/>
    <w:rsid w:val="63A800F2"/>
    <w:rsid w:val="63AFB048"/>
    <w:rsid w:val="63BCA2F3"/>
    <w:rsid w:val="63D456BA"/>
    <w:rsid w:val="63E7F279"/>
    <w:rsid w:val="63E9AA24"/>
    <w:rsid w:val="6403CCFA"/>
    <w:rsid w:val="6431318B"/>
    <w:rsid w:val="6455F162"/>
    <w:rsid w:val="64567709"/>
    <w:rsid w:val="64876935"/>
    <w:rsid w:val="6490E059"/>
    <w:rsid w:val="64BCD7C6"/>
    <w:rsid w:val="64D8316B"/>
    <w:rsid w:val="64EC2594"/>
    <w:rsid w:val="6502948B"/>
    <w:rsid w:val="651C8C07"/>
    <w:rsid w:val="652A2D47"/>
    <w:rsid w:val="65341699"/>
    <w:rsid w:val="65398A2F"/>
    <w:rsid w:val="658480CD"/>
    <w:rsid w:val="659CFDB6"/>
    <w:rsid w:val="659FC045"/>
    <w:rsid w:val="65A9F93E"/>
    <w:rsid w:val="65C59B5E"/>
    <w:rsid w:val="65ECD937"/>
    <w:rsid w:val="65FA96D8"/>
    <w:rsid w:val="661E2DB9"/>
    <w:rsid w:val="663BB4E3"/>
    <w:rsid w:val="665D3898"/>
    <w:rsid w:val="6660AA59"/>
    <w:rsid w:val="666680C0"/>
    <w:rsid w:val="6671CBC3"/>
    <w:rsid w:val="66B1F651"/>
    <w:rsid w:val="66CDC711"/>
    <w:rsid w:val="66FE1A07"/>
    <w:rsid w:val="6715D8C9"/>
    <w:rsid w:val="67255139"/>
    <w:rsid w:val="6751A609"/>
    <w:rsid w:val="676B780F"/>
    <w:rsid w:val="67749DA1"/>
    <w:rsid w:val="67827FF6"/>
    <w:rsid w:val="678D972E"/>
    <w:rsid w:val="6792EE6C"/>
    <w:rsid w:val="67C4187E"/>
    <w:rsid w:val="67C94A28"/>
    <w:rsid w:val="67CA42AD"/>
    <w:rsid w:val="67E37E43"/>
    <w:rsid w:val="67FA3D93"/>
    <w:rsid w:val="68124F75"/>
    <w:rsid w:val="682E815F"/>
    <w:rsid w:val="68666D42"/>
    <w:rsid w:val="6889A0B4"/>
    <w:rsid w:val="6889D770"/>
    <w:rsid w:val="68B951D2"/>
    <w:rsid w:val="68CF6967"/>
    <w:rsid w:val="68D1D2D2"/>
    <w:rsid w:val="68D5B0E9"/>
    <w:rsid w:val="68DF4DD2"/>
    <w:rsid w:val="68E83DBB"/>
    <w:rsid w:val="69045B3E"/>
    <w:rsid w:val="690E0807"/>
    <w:rsid w:val="69106E02"/>
    <w:rsid w:val="69226B90"/>
    <w:rsid w:val="694EFFFD"/>
    <w:rsid w:val="6994FA4A"/>
    <w:rsid w:val="69CFBA28"/>
    <w:rsid w:val="69D153F1"/>
    <w:rsid w:val="69D9815A"/>
    <w:rsid w:val="69EEE497"/>
    <w:rsid w:val="69FB82F6"/>
    <w:rsid w:val="6A038023"/>
    <w:rsid w:val="6A0E19BF"/>
    <w:rsid w:val="6A230AE9"/>
    <w:rsid w:val="6A413BE6"/>
    <w:rsid w:val="6A587C67"/>
    <w:rsid w:val="6AA6506A"/>
    <w:rsid w:val="6AC3962A"/>
    <w:rsid w:val="6AC6E5E5"/>
    <w:rsid w:val="6AC7DBC8"/>
    <w:rsid w:val="6AD6B559"/>
    <w:rsid w:val="6ADABCCF"/>
    <w:rsid w:val="6AE5B23C"/>
    <w:rsid w:val="6AF98AAD"/>
    <w:rsid w:val="6B064987"/>
    <w:rsid w:val="6B39F1E3"/>
    <w:rsid w:val="6B3C63B2"/>
    <w:rsid w:val="6B6B8A89"/>
    <w:rsid w:val="6B7ECF66"/>
    <w:rsid w:val="6B82944A"/>
    <w:rsid w:val="6B986BEE"/>
    <w:rsid w:val="6B98F2FB"/>
    <w:rsid w:val="6BBE8097"/>
    <w:rsid w:val="6BBF7F0B"/>
    <w:rsid w:val="6BCEA9DD"/>
    <w:rsid w:val="6BEFA2AC"/>
    <w:rsid w:val="6C5975FA"/>
    <w:rsid w:val="6C5A0C52"/>
    <w:rsid w:val="6C6C7FEA"/>
    <w:rsid w:val="6C6E08D4"/>
    <w:rsid w:val="6C897461"/>
    <w:rsid w:val="6C91826E"/>
    <w:rsid w:val="6CB6BEDF"/>
    <w:rsid w:val="6CE95600"/>
    <w:rsid w:val="6D075AEA"/>
    <w:rsid w:val="6D1B9828"/>
    <w:rsid w:val="6D2C8CC3"/>
    <w:rsid w:val="6D2D63FF"/>
    <w:rsid w:val="6D43B877"/>
    <w:rsid w:val="6D5D55C5"/>
    <w:rsid w:val="6D666669"/>
    <w:rsid w:val="6D7A8AFF"/>
    <w:rsid w:val="6D80D45B"/>
    <w:rsid w:val="6D890BC9"/>
    <w:rsid w:val="6DDE5001"/>
    <w:rsid w:val="6DE2AEBD"/>
    <w:rsid w:val="6DF10AEB"/>
    <w:rsid w:val="6E37DE41"/>
    <w:rsid w:val="6E6AEF36"/>
    <w:rsid w:val="6E74169A"/>
    <w:rsid w:val="6E88E603"/>
    <w:rsid w:val="6E8FB54C"/>
    <w:rsid w:val="6EB266F7"/>
    <w:rsid w:val="6EB8DB49"/>
    <w:rsid w:val="6F0B1E28"/>
    <w:rsid w:val="6F431273"/>
    <w:rsid w:val="6F5E4D98"/>
    <w:rsid w:val="6F986357"/>
    <w:rsid w:val="6F98A913"/>
    <w:rsid w:val="6FB425A7"/>
    <w:rsid w:val="6FBAA188"/>
    <w:rsid w:val="6FBE203F"/>
    <w:rsid w:val="6FBF5247"/>
    <w:rsid w:val="6FCD3464"/>
    <w:rsid w:val="70089CCF"/>
    <w:rsid w:val="701F4427"/>
    <w:rsid w:val="7027E5F8"/>
    <w:rsid w:val="703EED93"/>
    <w:rsid w:val="704CF92A"/>
    <w:rsid w:val="7056D0D9"/>
    <w:rsid w:val="70570996"/>
    <w:rsid w:val="705C8735"/>
    <w:rsid w:val="70657361"/>
    <w:rsid w:val="70709DFC"/>
    <w:rsid w:val="707E9957"/>
    <w:rsid w:val="7083CFEA"/>
    <w:rsid w:val="709B3262"/>
    <w:rsid w:val="709F15AD"/>
    <w:rsid w:val="70B02032"/>
    <w:rsid w:val="70B4E099"/>
    <w:rsid w:val="70B5DB25"/>
    <w:rsid w:val="70B67430"/>
    <w:rsid w:val="70B9A42D"/>
    <w:rsid w:val="70F931F8"/>
    <w:rsid w:val="710FD3E3"/>
    <w:rsid w:val="711B5C4A"/>
    <w:rsid w:val="712CDA86"/>
    <w:rsid w:val="713433B8"/>
    <w:rsid w:val="7149E631"/>
    <w:rsid w:val="714CB95E"/>
    <w:rsid w:val="716C03BF"/>
    <w:rsid w:val="71828520"/>
    <w:rsid w:val="718F266E"/>
    <w:rsid w:val="71A8C86B"/>
    <w:rsid w:val="71B8FAE2"/>
    <w:rsid w:val="71BF0493"/>
    <w:rsid w:val="71EA7E19"/>
    <w:rsid w:val="71F5C9D7"/>
    <w:rsid w:val="72192BA4"/>
    <w:rsid w:val="721C3324"/>
    <w:rsid w:val="7228B776"/>
    <w:rsid w:val="723D6AB0"/>
    <w:rsid w:val="7250B0FA"/>
    <w:rsid w:val="72886CFB"/>
    <w:rsid w:val="72982FA3"/>
    <w:rsid w:val="72A9B968"/>
    <w:rsid w:val="72B715E7"/>
    <w:rsid w:val="72BDB590"/>
    <w:rsid w:val="72D79BC4"/>
    <w:rsid w:val="72EDAED7"/>
    <w:rsid w:val="72F52330"/>
    <w:rsid w:val="72F98D96"/>
    <w:rsid w:val="730803BB"/>
    <w:rsid w:val="730AA381"/>
    <w:rsid w:val="731B3E30"/>
    <w:rsid w:val="735DC8DB"/>
    <w:rsid w:val="73872B8C"/>
    <w:rsid w:val="739DB326"/>
    <w:rsid w:val="73E48CAB"/>
    <w:rsid w:val="740125CE"/>
    <w:rsid w:val="741A5DFA"/>
    <w:rsid w:val="741FA650"/>
    <w:rsid w:val="74375D99"/>
    <w:rsid w:val="743DF392"/>
    <w:rsid w:val="7483A729"/>
    <w:rsid w:val="74DDBB49"/>
    <w:rsid w:val="74E17C01"/>
    <w:rsid w:val="74F38B29"/>
    <w:rsid w:val="7517C6C0"/>
    <w:rsid w:val="752D3CAC"/>
    <w:rsid w:val="75421D44"/>
    <w:rsid w:val="7543FDD8"/>
    <w:rsid w:val="756156F3"/>
    <w:rsid w:val="75820958"/>
    <w:rsid w:val="75877C09"/>
    <w:rsid w:val="758851BC"/>
    <w:rsid w:val="75A0D702"/>
    <w:rsid w:val="75A39521"/>
    <w:rsid w:val="75BE9B98"/>
    <w:rsid w:val="75CD9634"/>
    <w:rsid w:val="760FAD96"/>
    <w:rsid w:val="7613147B"/>
    <w:rsid w:val="76247461"/>
    <w:rsid w:val="7626A88A"/>
    <w:rsid w:val="764DAB8B"/>
    <w:rsid w:val="765D8892"/>
    <w:rsid w:val="76736A7F"/>
    <w:rsid w:val="767C4093"/>
    <w:rsid w:val="767E94AD"/>
    <w:rsid w:val="7698E272"/>
    <w:rsid w:val="76A15531"/>
    <w:rsid w:val="76C4302C"/>
    <w:rsid w:val="76D185E7"/>
    <w:rsid w:val="76DD1180"/>
    <w:rsid w:val="76EC9CC7"/>
    <w:rsid w:val="770BBD67"/>
    <w:rsid w:val="771A7205"/>
    <w:rsid w:val="7720E486"/>
    <w:rsid w:val="772B613D"/>
    <w:rsid w:val="773139A7"/>
    <w:rsid w:val="773FA669"/>
    <w:rsid w:val="7748CAE8"/>
    <w:rsid w:val="7763A41D"/>
    <w:rsid w:val="7769B4C3"/>
    <w:rsid w:val="77AA4D0C"/>
    <w:rsid w:val="77CA1198"/>
    <w:rsid w:val="77E74984"/>
    <w:rsid w:val="77F00E71"/>
    <w:rsid w:val="77F6E404"/>
    <w:rsid w:val="7835C5F2"/>
    <w:rsid w:val="78484410"/>
    <w:rsid w:val="784E4CB2"/>
    <w:rsid w:val="785F9DF1"/>
    <w:rsid w:val="787509AE"/>
    <w:rsid w:val="78977DEB"/>
    <w:rsid w:val="78BBE543"/>
    <w:rsid w:val="78BF6310"/>
    <w:rsid w:val="78D5962C"/>
    <w:rsid w:val="78DF7631"/>
    <w:rsid w:val="78EA0772"/>
    <w:rsid w:val="78FAC8AB"/>
    <w:rsid w:val="78FF8E7F"/>
    <w:rsid w:val="7919D67F"/>
    <w:rsid w:val="791E26D3"/>
    <w:rsid w:val="792112CA"/>
    <w:rsid w:val="796816DA"/>
    <w:rsid w:val="797A0732"/>
    <w:rsid w:val="79835358"/>
    <w:rsid w:val="79937C43"/>
    <w:rsid w:val="79ADB406"/>
    <w:rsid w:val="79C94CFD"/>
    <w:rsid w:val="79D6C1E4"/>
    <w:rsid w:val="79DE7791"/>
    <w:rsid w:val="7A334E4C"/>
    <w:rsid w:val="7A439B6B"/>
    <w:rsid w:val="7A6C0D2A"/>
    <w:rsid w:val="7A84455D"/>
    <w:rsid w:val="7A979097"/>
    <w:rsid w:val="7A9AFC25"/>
    <w:rsid w:val="7AAB729E"/>
    <w:rsid w:val="7AC07888"/>
    <w:rsid w:val="7AD4A8B7"/>
    <w:rsid w:val="7AE2722A"/>
    <w:rsid w:val="7AE3D759"/>
    <w:rsid w:val="7AF7E584"/>
    <w:rsid w:val="7AFB0DE4"/>
    <w:rsid w:val="7B0BBDD3"/>
    <w:rsid w:val="7B2B4D96"/>
    <w:rsid w:val="7B3126B0"/>
    <w:rsid w:val="7B3D6B82"/>
    <w:rsid w:val="7B647B1B"/>
    <w:rsid w:val="7B6FE54A"/>
    <w:rsid w:val="7B765F9C"/>
    <w:rsid w:val="7B7A6B8A"/>
    <w:rsid w:val="7B88B4B1"/>
    <w:rsid w:val="7BC25C80"/>
    <w:rsid w:val="7BF0CB92"/>
    <w:rsid w:val="7BF6557E"/>
    <w:rsid w:val="7C1CBDE9"/>
    <w:rsid w:val="7C35BF7C"/>
    <w:rsid w:val="7C43FA98"/>
    <w:rsid w:val="7C46843A"/>
    <w:rsid w:val="7C52C566"/>
    <w:rsid w:val="7C7C0112"/>
    <w:rsid w:val="7C909D13"/>
    <w:rsid w:val="7C945ECD"/>
    <w:rsid w:val="7C94801E"/>
    <w:rsid w:val="7CAFA1C6"/>
    <w:rsid w:val="7CBA19C1"/>
    <w:rsid w:val="7CCC2810"/>
    <w:rsid w:val="7CF2AC45"/>
    <w:rsid w:val="7D0053A6"/>
    <w:rsid w:val="7D118C2E"/>
    <w:rsid w:val="7D16D590"/>
    <w:rsid w:val="7D173127"/>
    <w:rsid w:val="7D20E02A"/>
    <w:rsid w:val="7D40C124"/>
    <w:rsid w:val="7D51C6B1"/>
    <w:rsid w:val="7D54F06D"/>
    <w:rsid w:val="7D805ED4"/>
    <w:rsid w:val="7D81F79F"/>
    <w:rsid w:val="7D8D67B7"/>
    <w:rsid w:val="7D91AD3F"/>
    <w:rsid w:val="7D9AD194"/>
    <w:rsid w:val="7D9E8958"/>
    <w:rsid w:val="7DA4C002"/>
    <w:rsid w:val="7DDA7965"/>
    <w:rsid w:val="7DDE2835"/>
    <w:rsid w:val="7DE7CCC8"/>
    <w:rsid w:val="7DF3931C"/>
    <w:rsid w:val="7DF8194A"/>
    <w:rsid w:val="7E0026A5"/>
    <w:rsid w:val="7E01A854"/>
    <w:rsid w:val="7E042609"/>
    <w:rsid w:val="7E0C4979"/>
    <w:rsid w:val="7E2FF112"/>
    <w:rsid w:val="7E345D3F"/>
    <w:rsid w:val="7E3860F5"/>
    <w:rsid w:val="7E642885"/>
    <w:rsid w:val="7E792301"/>
    <w:rsid w:val="7E9A29D8"/>
    <w:rsid w:val="7EB3FC8C"/>
    <w:rsid w:val="7EE140BF"/>
    <w:rsid w:val="7EE5421A"/>
    <w:rsid w:val="7F13415C"/>
    <w:rsid w:val="7F2A3DB1"/>
    <w:rsid w:val="7F3283AC"/>
    <w:rsid w:val="7F4AB5BB"/>
    <w:rsid w:val="7F503AD2"/>
    <w:rsid w:val="7F6DC552"/>
    <w:rsid w:val="7F6EC241"/>
    <w:rsid w:val="7F995F8F"/>
    <w:rsid w:val="7FA1699A"/>
    <w:rsid w:val="7FC9E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32994"/>
  <w15:docId w15:val="{3F49F9DB-5C0D-448D-8C52-6259E9C6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56D8"/>
    <w:rPr>
      <w:kern w:val="0"/>
    </w:rPr>
  </w:style>
  <w:style w:type="paragraph" w:styleId="Nagwek1">
    <w:name w:val="heading 1"/>
    <w:basedOn w:val="Normalny"/>
    <w:next w:val="Normalny"/>
    <w:link w:val="Nagwek1Znak"/>
    <w:uiPriority w:val="9"/>
    <w:qFormat/>
    <w:rsid w:val="00E72802"/>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72802"/>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72802"/>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72802"/>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72802"/>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72802"/>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72802"/>
    <w:pPr>
      <w:keepNext/>
      <w:keepLines/>
      <w:numPr>
        <w:ilvl w:val="6"/>
        <w:numId w:val="10"/>
      </w:numPr>
      <w:suppressAutoHyphens/>
      <w:spacing w:before="40" w:after="0" w:line="240" w:lineRule="auto"/>
      <w:outlineLvl w:val="6"/>
    </w:pPr>
    <w:rPr>
      <w:rFonts w:asciiTheme="majorHAnsi" w:eastAsiaTheme="majorEastAsia" w:hAnsiTheme="majorHAnsi" w:cstheme="majorBidi"/>
      <w:i/>
      <w:iCs/>
      <w:color w:val="1F3763" w:themeColor="accent1" w:themeShade="7F"/>
      <w:sz w:val="24"/>
      <w:szCs w:val="24"/>
      <w:lang w:eastAsia="ar-SA"/>
    </w:rPr>
  </w:style>
  <w:style w:type="paragraph" w:styleId="Nagwek8">
    <w:name w:val="heading 8"/>
    <w:basedOn w:val="Normalny"/>
    <w:next w:val="Normalny"/>
    <w:link w:val="Nagwek8Znak"/>
    <w:uiPriority w:val="9"/>
    <w:unhideWhenUsed/>
    <w:qFormat/>
    <w:rsid w:val="00E72802"/>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72802"/>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2802"/>
    <w:rPr>
      <w:rFonts w:asciiTheme="majorHAnsi" w:eastAsiaTheme="majorEastAsia" w:hAnsiTheme="majorHAnsi" w:cstheme="majorBidi"/>
      <w:color w:val="2F5496" w:themeColor="accent1" w:themeShade="BF"/>
      <w:kern w:val="0"/>
      <w:sz w:val="32"/>
      <w:szCs w:val="32"/>
    </w:rPr>
  </w:style>
  <w:style w:type="character" w:customStyle="1" w:styleId="Nagwek2Znak">
    <w:name w:val="Nagłówek 2 Znak"/>
    <w:basedOn w:val="Domylnaczcionkaakapitu"/>
    <w:link w:val="Nagwek2"/>
    <w:uiPriority w:val="9"/>
    <w:rsid w:val="00E72802"/>
    <w:rPr>
      <w:rFonts w:asciiTheme="majorHAnsi" w:eastAsiaTheme="majorEastAsia" w:hAnsiTheme="majorHAnsi" w:cstheme="majorBidi"/>
      <w:color w:val="2F5496" w:themeColor="accent1" w:themeShade="BF"/>
      <w:kern w:val="0"/>
      <w:sz w:val="26"/>
      <w:szCs w:val="26"/>
    </w:rPr>
  </w:style>
  <w:style w:type="character" w:customStyle="1" w:styleId="Nagwek3Znak">
    <w:name w:val="Nagłówek 3 Znak"/>
    <w:basedOn w:val="Domylnaczcionkaakapitu"/>
    <w:link w:val="Nagwek3"/>
    <w:uiPriority w:val="9"/>
    <w:rsid w:val="00E72802"/>
    <w:rPr>
      <w:rFonts w:asciiTheme="majorHAnsi" w:eastAsiaTheme="majorEastAsia" w:hAnsiTheme="majorHAnsi" w:cstheme="majorBidi"/>
      <w:color w:val="1F3763" w:themeColor="accent1" w:themeShade="7F"/>
      <w:kern w:val="0"/>
      <w:sz w:val="24"/>
      <w:szCs w:val="24"/>
    </w:rPr>
  </w:style>
  <w:style w:type="character" w:customStyle="1" w:styleId="Nagwek4Znak">
    <w:name w:val="Nagłówek 4 Znak"/>
    <w:basedOn w:val="Domylnaczcionkaakapitu"/>
    <w:link w:val="Nagwek4"/>
    <w:uiPriority w:val="9"/>
    <w:rsid w:val="00E72802"/>
    <w:rPr>
      <w:rFonts w:asciiTheme="majorHAnsi" w:eastAsiaTheme="majorEastAsia" w:hAnsiTheme="majorHAnsi" w:cstheme="majorBidi"/>
      <w:i/>
      <w:iCs/>
      <w:color w:val="2F5496" w:themeColor="accent1" w:themeShade="BF"/>
      <w:kern w:val="0"/>
    </w:rPr>
  </w:style>
  <w:style w:type="character" w:customStyle="1" w:styleId="Nagwek5Znak">
    <w:name w:val="Nagłówek 5 Znak"/>
    <w:basedOn w:val="Domylnaczcionkaakapitu"/>
    <w:link w:val="Nagwek5"/>
    <w:uiPriority w:val="9"/>
    <w:semiHidden/>
    <w:rsid w:val="00E72802"/>
    <w:rPr>
      <w:rFonts w:asciiTheme="majorHAnsi" w:eastAsiaTheme="majorEastAsia" w:hAnsiTheme="majorHAnsi" w:cstheme="majorBidi"/>
      <w:color w:val="2F5496" w:themeColor="accent1" w:themeShade="BF"/>
      <w:kern w:val="0"/>
    </w:rPr>
  </w:style>
  <w:style w:type="character" w:customStyle="1" w:styleId="Nagwek6Znak">
    <w:name w:val="Nagłówek 6 Znak"/>
    <w:basedOn w:val="Domylnaczcionkaakapitu"/>
    <w:link w:val="Nagwek6"/>
    <w:uiPriority w:val="9"/>
    <w:semiHidden/>
    <w:rsid w:val="00E72802"/>
    <w:rPr>
      <w:rFonts w:asciiTheme="majorHAnsi" w:eastAsiaTheme="majorEastAsia" w:hAnsiTheme="majorHAnsi" w:cstheme="majorBidi"/>
      <w:color w:val="1F3763" w:themeColor="accent1" w:themeShade="7F"/>
      <w:kern w:val="0"/>
    </w:rPr>
  </w:style>
  <w:style w:type="character" w:customStyle="1" w:styleId="Nagwek7Znak">
    <w:name w:val="Nagłówek 7 Znak"/>
    <w:basedOn w:val="Domylnaczcionkaakapitu"/>
    <w:link w:val="Nagwek7"/>
    <w:uiPriority w:val="9"/>
    <w:rsid w:val="00E72802"/>
    <w:rPr>
      <w:rFonts w:asciiTheme="majorHAnsi" w:eastAsiaTheme="majorEastAsia" w:hAnsiTheme="majorHAnsi" w:cstheme="majorBidi"/>
      <w:i/>
      <w:iCs/>
      <w:color w:val="1F3763" w:themeColor="accent1" w:themeShade="7F"/>
      <w:kern w:val="0"/>
      <w:sz w:val="24"/>
      <w:szCs w:val="24"/>
      <w:lang w:eastAsia="ar-SA"/>
    </w:rPr>
  </w:style>
  <w:style w:type="character" w:customStyle="1" w:styleId="Nagwek8Znak">
    <w:name w:val="Nagłówek 8 Znak"/>
    <w:basedOn w:val="Domylnaczcionkaakapitu"/>
    <w:link w:val="Nagwek8"/>
    <w:uiPriority w:val="9"/>
    <w:rsid w:val="00E72802"/>
    <w:rPr>
      <w:rFonts w:asciiTheme="majorHAnsi" w:eastAsiaTheme="majorEastAsia" w:hAnsiTheme="majorHAnsi" w:cstheme="majorBidi"/>
      <w:color w:val="272727" w:themeColor="text1" w:themeTint="D8"/>
      <w:kern w:val="0"/>
      <w:sz w:val="21"/>
      <w:szCs w:val="21"/>
    </w:rPr>
  </w:style>
  <w:style w:type="character" w:customStyle="1" w:styleId="Nagwek9Znak">
    <w:name w:val="Nagłówek 9 Znak"/>
    <w:basedOn w:val="Domylnaczcionkaakapitu"/>
    <w:link w:val="Nagwek9"/>
    <w:uiPriority w:val="9"/>
    <w:semiHidden/>
    <w:rsid w:val="00E72802"/>
    <w:rPr>
      <w:rFonts w:asciiTheme="majorHAnsi" w:eastAsiaTheme="majorEastAsia" w:hAnsiTheme="majorHAnsi" w:cstheme="majorBidi"/>
      <w:i/>
      <w:iCs/>
      <w:color w:val="272727" w:themeColor="text1" w:themeTint="D8"/>
      <w:kern w:val="0"/>
      <w:sz w:val="21"/>
      <w:szCs w:val="21"/>
    </w:rPr>
  </w:style>
  <w:style w:type="paragraph" w:styleId="Nagwek">
    <w:name w:val="header"/>
    <w:basedOn w:val="Normalny"/>
    <w:link w:val="NagwekZnak"/>
    <w:uiPriority w:val="99"/>
    <w:unhideWhenUsed/>
    <w:rsid w:val="00E728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802"/>
    <w:rPr>
      <w:kern w:val="0"/>
    </w:rPr>
  </w:style>
  <w:style w:type="paragraph" w:styleId="Stopka">
    <w:name w:val="footer"/>
    <w:basedOn w:val="Normalny"/>
    <w:link w:val="StopkaZnak"/>
    <w:uiPriority w:val="99"/>
    <w:unhideWhenUsed/>
    <w:rsid w:val="00E728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802"/>
    <w:rPr>
      <w:kern w:val="0"/>
    </w:rPr>
  </w:style>
  <w:style w:type="paragraph" w:styleId="Nagwekspisutreci">
    <w:name w:val="TOC Heading"/>
    <w:basedOn w:val="Nagwek1"/>
    <w:next w:val="Normalny"/>
    <w:uiPriority w:val="39"/>
    <w:unhideWhenUsed/>
    <w:qFormat/>
    <w:rsid w:val="00E72802"/>
    <w:pPr>
      <w:outlineLvl w:val="9"/>
    </w:pPr>
    <w:rPr>
      <w:lang w:eastAsia="pl-PL"/>
    </w:rPr>
  </w:style>
  <w:style w:type="paragraph" w:styleId="Spistreci1">
    <w:name w:val="toc 1"/>
    <w:basedOn w:val="Normalny"/>
    <w:next w:val="Normalny"/>
    <w:autoRedefine/>
    <w:uiPriority w:val="39"/>
    <w:unhideWhenUsed/>
    <w:rsid w:val="001D2F52"/>
    <w:pPr>
      <w:tabs>
        <w:tab w:val="left" w:pos="440"/>
        <w:tab w:val="right" w:leader="dot" w:pos="9062"/>
      </w:tabs>
      <w:spacing w:after="100" w:line="240" w:lineRule="auto"/>
    </w:pPr>
    <w:rPr>
      <w:rFonts w:ascii="Calibri" w:hAnsi="Calibri" w:cstheme="minorHAnsi"/>
      <w:bCs/>
      <w:noProof/>
      <w:sz w:val="24"/>
    </w:rPr>
  </w:style>
  <w:style w:type="character" w:styleId="Hipercze">
    <w:name w:val="Hyperlink"/>
    <w:basedOn w:val="Domylnaczcionkaakapitu"/>
    <w:uiPriority w:val="99"/>
    <w:unhideWhenUsed/>
    <w:rsid w:val="00E72802"/>
    <w:rPr>
      <w:color w:val="0563C1" w:themeColor="hyperlink"/>
      <w:u w:val="single"/>
    </w:rPr>
  </w:style>
  <w:style w:type="paragraph" w:styleId="Spistreci2">
    <w:name w:val="toc 2"/>
    <w:basedOn w:val="Normalny"/>
    <w:next w:val="Normalny"/>
    <w:autoRedefine/>
    <w:uiPriority w:val="39"/>
    <w:unhideWhenUsed/>
    <w:rsid w:val="00C0014E"/>
    <w:pPr>
      <w:tabs>
        <w:tab w:val="left" w:pos="1100"/>
        <w:tab w:val="right" w:leader="dot" w:pos="9062"/>
      </w:tabs>
      <w:spacing w:before="120" w:after="120" w:line="276" w:lineRule="auto"/>
      <w:ind w:right="707"/>
    </w:pPr>
    <w:rPr>
      <w:rFonts w:ascii="Calibri" w:hAnsi="Calibri"/>
      <w:sz w:val="24"/>
    </w:rPr>
  </w:style>
  <w:style w:type="paragraph" w:styleId="Spistreci3">
    <w:name w:val="toc 3"/>
    <w:basedOn w:val="Normalny"/>
    <w:next w:val="Normalny"/>
    <w:autoRedefine/>
    <w:uiPriority w:val="39"/>
    <w:unhideWhenUsed/>
    <w:rsid w:val="00E72802"/>
    <w:pPr>
      <w:tabs>
        <w:tab w:val="left" w:pos="1134"/>
        <w:tab w:val="right" w:leader="dot" w:pos="9062"/>
      </w:tabs>
      <w:spacing w:before="120" w:after="120" w:line="276" w:lineRule="auto"/>
      <w:ind w:left="1134" w:right="707" w:hanging="694"/>
    </w:pPr>
    <w:rPr>
      <w:rFonts w:ascii="Calibri" w:hAnsi="Calibri" w:cs="Arial"/>
      <w:bCs/>
      <w:noProof/>
      <w:sz w:val="24"/>
    </w:rPr>
  </w:style>
  <w:style w:type="paragraph" w:styleId="Akapitzlist">
    <w:name w:val="List Paragraph"/>
    <w:aliases w:val="Liste à puces retrait droite,List Paragraph compact,Normal bullet 2,Paragraphe de liste 2,Reference list,Bullet list,Numbered List,List Paragraph1,1st level - Bullet List Paragraph,Lettre d'introduction,Paragraph,Bullet EY,Wykres,sw tekst"/>
    <w:basedOn w:val="Normalny"/>
    <w:link w:val="AkapitzlistZnak"/>
    <w:uiPriority w:val="34"/>
    <w:qFormat/>
    <w:rsid w:val="00E72802"/>
    <w:pPr>
      <w:ind w:left="720"/>
      <w:contextualSpacing/>
    </w:p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unhideWhenUsed/>
    <w:rsid w:val="00E72802"/>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E72802"/>
    <w:rPr>
      <w:kern w:val="0"/>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E72802"/>
    <w:rPr>
      <w:vertAlign w:val="superscript"/>
    </w:rPr>
  </w:style>
  <w:style w:type="character" w:styleId="Odwoaniedokomentarza">
    <w:name w:val="annotation reference"/>
    <w:basedOn w:val="Domylnaczcionkaakapitu"/>
    <w:uiPriority w:val="99"/>
    <w:unhideWhenUsed/>
    <w:qFormat/>
    <w:rsid w:val="00E72802"/>
    <w:rPr>
      <w:sz w:val="16"/>
      <w:szCs w:val="16"/>
    </w:rPr>
  </w:style>
  <w:style w:type="paragraph" w:styleId="Tekstkomentarza">
    <w:name w:val="annotation text"/>
    <w:aliases w:val="Znak, Znak"/>
    <w:basedOn w:val="Normalny"/>
    <w:link w:val="TekstkomentarzaZnak"/>
    <w:uiPriority w:val="99"/>
    <w:unhideWhenUsed/>
    <w:qFormat/>
    <w:rsid w:val="00E72802"/>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qFormat/>
    <w:rsid w:val="00E72802"/>
    <w:rPr>
      <w:kern w:val="0"/>
      <w:sz w:val="20"/>
      <w:szCs w:val="20"/>
    </w:rPr>
  </w:style>
  <w:style w:type="paragraph" w:styleId="Tematkomentarza">
    <w:name w:val="annotation subject"/>
    <w:basedOn w:val="Tekstkomentarza"/>
    <w:next w:val="Tekstkomentarza"/>
    <w:link w:val="TematkomentarzaZnak"/>
    <w:uiPriority w:val="99"/>
    <w:semiHidden/>
    <w:unhideWhenUsed/>
    <w:rsid w:val="00E72802"/>
    <w:rPr>
      <w:b/>
      <w:bCs/>
    </w:rPr>
  </w:style>
  <w:style w:type="character" w:customStyle="1" w:styleId="TematkomentarzaZnak">
    <w:name w:val="Temat komentarza Znak"/>
    <w:basedOn w:val="TekstkomentarzaZnak"/>
    <w:link w:val="Tematkomentarza"/>
    <w:uiPriority w:val="99"/>
    <w:semiHidden/>
    <w:rsid w:val="00E72802"/>
    <w:rPr>
      <w:b/>
      <w:bCs/>
      <w:kern w:val="0"/>
      <w:sz w:val="20"/>
      <w:szCs w:val="20"/>
    </w:rPr>
  </w:style>
  <w:style w:type="table" w:styleId="Tabela-Siatka">
    <w:name w:val="Table Grid"/>
    <w:basedOn w:val="Standardowy"/>
    <w:uiPriority w:val="39"/>
    <w:rsid w:val="00E7280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e à puces retrait droite Znak,List Paragraph compact Znak,Normal bullet 2 Znak,Paragraphe de liste 2 Znak,Reference list Znak,Bullet list Znak,Numbered List Znak,List Paragraph1 Znak,1st level - Bullet List Paragraph Znak"/>
    <w:basedOn w:val="Domylnaczcionkaakapitu"/>
    <w:link w:val="Akapitzlist"/>
    <w:uiPriority w:val="34"/>
    <w:qFormat/>
    <w:rsid w:val="00E72802"/>
    <w:rPr>
      <w:kern w:val="0"/>
    </w:rPr>
  </w:style>
  <w:style w:type="paragraph" w:customStyle="1" w:styleId="NCBRnormalny">
    <w:name w:val="NCBR_normalny"/>
    <w:basedOn w:val="Normalny"/>
    <w:rsid w:val="00E72802"/>
    <w:pPr>
      <w:spacing w:after="0" w:line="300" w:lineRule="exact"/>
      <w:contextualSpacing/>
      <w:jc w:val="both"/>
    </w:pPr>
    <w:rPr>
      <w:rFonts w:ascii="Lato" w:eastAsia="Arial" w:hAnsi="Lato" w:cs="Arial"/>
      <w:color w:val="000000" w:themeColor="text1"/>
      <w:lang w:val="pl"/>
    </w:rPr>
  </w:style>
  <w:style w:type="paragraph" w:styleId="Poprawka">
    <w:name w:val="Revision"/>
    <w:hidden/>
    <w:uiPriority w:val="99"/>
    <w:semiHidden/>
    <w:rsid w:val="00E72802"/>
    <w:pPr>
      <w:spacing w:after="0" w:line="240" w:lineRule="auto"/>
    </w:pPr>
    <w:rPr>
      <w:kern w:val="0"/>
    </w:rPr>
  </w:style>
  <w:style w:type="character" w:customStyle="1" w:styleId="hgkelc">
    <w:name w:val="hgkelc"/>
    <w:basedOn w:val="Domylnaczcionkaakapitu"/>
    <w:rsid w:val="00E72802"/>
  </w:style>
  <w:style w:type="paragraph" w:customStyle="1" w:styleId="NCBR2Nagowek">
    <w:name w:val="NCBR_2Nagłowek"/>
    <w:basedOn w:val="Normalny"/>
    <w:qFormat/>
    <w:rsid w:val="00E72802"/>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markedcontent">
    <w:name w:val="markedcontent"/>
    <w:basedOn w:val="Domylnaczcionkaakapitu"/>
    <w:rsid w:val="00E72802"/>
  </w:style>
  <w:style w:type="character" w:customStyle="1" w:styleId="highlight">
    <w:name w:val="highlight"/>
    <w:basedOn w:val="Domylnaczcionkaakapitu"/>
    <w:rsid w:val="00E72802"/>
  </w:style>
  <w:style w:type="character" w:customStyle="1" w:styleId="Nierozpoznanawzmianka1">
    <w:name w:val="Nierozpoznana wzmianka1"/>
    <w:basedOn w:val="Domylnaczcionkaakapitu"/>
    <w:uiPriority w:val="99"/>
    <w:semiHidden/>
    <w:unhideWhenUsed/>
    <w:rsid w:val="00E72802"/>
    <w:rPr>
      <w:color w:val="605E5C"/>
      <w:shd w:val="clear" w:color="auto" w:fill="E1DFDD"/>
    </w:rPr>
  </w:style>
  <w:style w:type="paragraph" w:styleId="HTML-wstpniesformatowany">
    <w:name w:val="HTML Preformatted"/>
    <w:basedOn w:val="Normalny"/>
    <w:link w:val="HTML-wstpniesformatowanyZnak"/>
    <w:uiPriority w:val="99"/>
    <w:semiHidden/>
    <w:unhideWhenUsed/>
    <w:rsid w:val="00E7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72802"/>
    <w:rPr>
      <w:rFonts w:ascii="Courier New" w:eastAsia="Times New Roman" w:hAnsi="Courier New" w:cs="Courier New"/>
      <w:kern w:val="0"/>
      <w:sz w:val="20"/>
      <w:szCs w:val="20"/>
      <w:lang w:eastAsia="pl-PL"/>
    </w:rPr>
  </w:style>
  <w:style w:type="character" w:customStyle="1" w:styleId="y2iqfc">
    <w:name w:val="y2iqfc"/>
    <w:basedOn w:val="Domylnaczcionkaakapitu"/>
    <w:rsid w:val="00E72802"/>
  </w:style>
  <w:style w:type="paragraph" w:styleId="NormalnyWeb">
    <w:name w:val="Normal (Web)"/>
    <w:basedOn w:val="Normalny"/>
    <w:uiPriority w:val="99"/>
    <w:unhideWhenUsed/>
    <w:rsid w:val="00E728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728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802"/>
    <w:rPr>
      <w:rFonts w:ascii="Segoe UI" w:hAnsi="Segoe UI" w:cs="Segoe UI"/>
      <w:kern w:val="0"/>
      <w:sz w:val="18"/>
      <w:szCs w:val="18"/>
    </w:rPr>
  </w:style>
  <w:style w:type="character" w:customStyle="1" w:styleId="text-justify">
    <w:name w:val="text-justify"/>
    <w:basedOn w:val="Domylnaczcionkaakapitu"/>
    <w:rsid w:val="00E72802"/>
  </w:style>
  <w:style w:type="character" w:customStyle="1" w:styleId="Nierozpoznanawzmianka2">
    <w:name w:val="Nierozpoznana wzmianka2"/>
    <w:basedOn w:val="Domylnaczcionkaakapitu"/>
    <w:uiPriority w:val="99"/>
    <w:semiHidden/>
    <w:unhideWhenUsed/>
    <w:rsid w:val="00E72802"/>
    <w:rPr>
      <w:color w:val="605E5C"/>
      <w:shd w:val="clear" w:color="auto" w:fill="E1DFDD"/>
    </w:rPr>
  </w:style>
  <w:style w:type="paragraph" w:styleId="Tekstprzypisukocowego">
    <w:name w:val="endnote text"/>
    <w:basedOn w:val="Normalny"/>
    <w:link w:val="TekstprzypisukocowegoZnak"/>
    <w:uiPriority w:val="99"/>
    <w:semiHidden/>
    <w:unhideWhenUsed/>
    <w:rsid w:val="00E728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2802"/>
    <w:rPr>
      <w:kern w:val="0"/>
      <w:sz w:val="20"/>
      <w:szCs w:val="20"/>
    </w:rPr>
  </w:style>
  <w:style w:type="character" w:styleId="Odwoanieprzypisukocowego">
    <w:name w:val="endnote reference"/>
    <w:basedOn w:val="Domylnaczcionkaakapitu"/>
    <w:uiPriority w:val="99"/>
    <w:semiHidden/>
    <w:unhideWhenUsed/>
    <w:rsid w:val="00E72802"/>
    <w:rPr>
      <w:vertAlign w:val="superscript"/>
    </w:rPr>
  </w:style>
  <w:style w:type="paragraph" w:styleId="Bezodstpw">
    <w:name w:val="No Spacing"/>
    <w:uiPriority w:val="1"/>
    <w:qFormat/>
    <w:rsid w:val="00E72802"/>
    <w:pPr>
      <w:spacing w:after="0" w:line="240" w:lineRule="auto"/>
    </w:pPr>
    <w:rPr>
      <w:kern w:val="0"/>
    </w:rPr>
  </w:style>
  <w:style w:type="character" w:styleId="UyteHipercze">
    <w:name w:val="FollowedHyperlink"/>
    <w:basedOn w:val="Domylnaczcionkaakapitu"/>
    <w:uiPriority w:val="99"/>
    <w:semiHidden/>
    <w:unhideWhenUsed/>
    <w:rsid w:val="00E72802"/>
    <w:rPr>
      <w:color w:val="954F72" w:themeColor="followedHyperlink"/>
      <w:u w:val="single"/>
    </w:rPr>
  </w:style>
  <w:style w:type="paragraph" w:customStyle="1" w:styleId="CM1">
    <w:name w:val="CM1"/>
    <w:basedOn w:val="Normalny"/>
    <w:next w:val="Normalny"/>
    <w:uiPriority w:val="99"/>
    <w:rsid w:val="00E72802"/>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ny"/>
    <w:next w:val="Normalny"/>
    <w:uiPriority w:val="99"/>
    <w:rsid w:val="00E72802"/>
    <w:pPr>
      <w:autoSpaceDE w:val="0"/>
      <w:autoSpaceDN w:val="0"/>
      <w:adjustRightInd w:val="0"/>
      <w:spacing w:after="0" w:line="240" w:lineRule="auto"/>
    </w:pPr>
    <w:rPr>
      <w:rFonts w:ascii="Times New Roman" w:hAnsi="Times New Roman" w:cs="Times New Roman"/>
      <w:sz w:val="24"/>
      <w:szCs w:val="24"/>
    </w:rPr>
  </w:style>
  <w:style w:type="paragraph" w:styleId="Tytu">
    <w:name w:val="Title"/>
    <w:basedOn w:val="Normalny"/>
    <w:next w:val="Normalny"/>
    <w:link w:val="TytuZnak"/>
    <w:uiPriority w:val="10"/>
    <w:qFormat/>
    <w:rsid w:val="00E728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2802"/>
    <w:rPr>
      <w:rFonts w:asciiTheme="majorHAnsi" w:eastAsiaTheme="majorEastAsia" w:hAnsiTheme="majorHAnsi" w:cstheme="majorBidi"/>
      <w:spacing w:val="-10"/>
      <w:kern w:val="28"/>
      <w:sz w:val="56"/>
      <w:szCs w:val="56"/>
    </w:rPr>
  </w:style>
  <w:style w:type="paragraph" w:customStyle="1" w:styleId="Tekstpodstawowywcity21">
    <w:name w:val="Tekst podstawowy wcięty 21"/>
    <w:basedOn w:val="Normalny"/>
    <w:rsid w:val="00E72802"/>
    <w:pPr>
      <w:suppressAutoHyphens/>
      <w:spacing w:after="0" w:line="240" w:lineRule="auto"/>
      <w:ind w:left="360"/>
      <w:jc w:val="both"/>
    </w:pPr>
    <w:rPr>
      <w:rFonts w:ascii="Times New Roman" w:eastAsia="Times New Roman" w:hAnsi="Times New Roman" w:cs="Times New Roman"/>
      <w:sz w:val="24"/>
      <w:szCs w:val="24"/>
      <w:lang w:eastAsia="ar-SA"/>
    </w:rPr>
  </w:style>
  <w:style w:type="character" w:customStyle="1" w:styleId="ui-provider">
    <w:name w:val="ui-provider"/>
    <w:basedOn w:val="Domylnaczcionkaakapitu"/>
    <w:rsid w:val="00E72802"/>
  </w:style>
  <w:style w:type="paragraph" w:customStyle="1" w:styleId="Wtabeli">
    <w:name w:val="_W tabeli"/>
    <w:basedOn w:val="Normalny"/>
    <w:qFormat/>
    <w:rsid w:val="00E72802"/>
    <w:pPr>
      <w:spacing w:after="40" w:line="240" w:lineRule="auto"/>
      <w:jc w:val="both"/>
    </w:pPr>
    <w:rPr>
      <w:sz w:val="18"/>
      <w:szCs w:val="18"/>
    </w:rPr>
  </w:style>
  <w:style w:type="paragraph" w:styleId="Spistreci4">
    <w:name w:val="toc 4"/>
    <w:basedOn w:val="Normalny"/>
    <w:next w:val="Normalny"/>
    <w:autoRedefine/>
    <w:uiPriority w:val="39"/>
    <w:unhideWhenUsed/>
    <w:rsid w:val="00E72802"/>
    <w:pPr>
      <w:spacing w:after="100"/>
      <w:ind w:left="660"/>
    </w:pPr>
    <w:rPr>
      <w:rFonts w:eastAsiaTheme="minorEastAsia"/>
      <w:lang w:eastAsia="pl-PL"/>
    </w:rPr>
  </w:style>
  <w:style w:type="paragraph" w:styleId="Spistreci5">
    <w:name w:val="toc 5"/>
    <w:basedOn w:val="Normalny"/>
    <w:next w:val="Normalny"/>
    <w:autoRedefine/>
    <w:uiPriority w:val="39"/>
    <w:unhideWhenUsed/>
    <w:rsid w:val="00E72802"/>
    <w:pPr>
      <w:spacing w:after="100"/>
      <w:ind w:left="880"/>
    </w:pPr>
    <w:rPr>
      <w:rFonts w:eastAsiaTheme="minorEastAsia"/>
      <w:lang w:eastAsia="pl-PL"/>
    </w:rPr>
  </w:style>
  <w:style w:type="paragraph" w:styleId="Spistreci6">
    <w:name w:val="toc 6"/>
    <w:basedOn w:val="Normalny"/>
    <w:next w:val="Normalny"/>
    <w:autoRedefine/>
    <w:uiPriority w:val="39"/>
    <w:unhideWhenUsed/>
    <w:rsid w:val="00E72802"/>
    <w:pPr>
      <w:spacing w:after="100"/>
      <w:ind w:left="1100"/>
    </w:pPr>
    <w:rPr>
      <w:rFonts w:eastAsiaTheme="minorEastAsia"/>
      <w:lang w:eastAsia="pl-PL"/>
    </w:rPr>
  </w:style>
  <w:style w:type="paragraph" w:styleId="Spistreci7">
    <w:name w:val="toc 7"/>
    <w:basedOn w:val="Normalny"/>
    <w:next w:val="Normalny"/>
    <w:autoRedefine/>
    <w:uiPriority w:val="39"/>
    <w:unhideWhenUsed/>
    <w:rsid w:val="00E72802"/>
    <w:pPr>
      <w:spacing w:after="100"/>
      <w:ind w:left="1320"/>
    </w:pPr>
    <w:rPr>
      <w:rFonts w:eastAsiaTheme="minorEastAsia"/>
      <w:lang w:eastAsia="pl-PL"/>
    </w:rPr>
  </w:style>
  <w:style w:type="paragraph" w:styleId="Spistreci8">
    <w:name w:val="toc 8"/>
    <w:basedOn w:val="Normalny"/>
    <w:next w:val="Normalny"/>
    <w:autoRedefine/>
    <w:uiPriority w:val="39"/>
    <w:unhideWhenUsed/>
    <w:rsid w:val="00E72802"/>
    <w:pPr>
      <w:spacing w:after="100"/>
      <w:ind w:left="1540"/>
    </w:pPr>
    <w:rPr>
      <w:rFonts w:eastAsiaTheme="minorEastAsia"/>
      <w:lang w:eastAsia="pl-PL"/>
    </w:rPr>
  </w:style>
  <w:style w:type="paragraph" w:styleId="Spistreci9">
    <w:name w:val="toc 9"/>
    <w:basedOn w:val="Normalny"/>
    <w:next w:val="Normalny"/>
    <w:autoRedefine/>
    <w:uiPriority w:val="39"/>
    <w:unhideWhenUsed/>
    <w:rsid w:val="00E72802"/>
    <w:pPr>
      <w:spacing w:after="100"/>
      <w:ind w:left="1760"/>
    </w:pPr>
    <w:rPr>
      <w:rFonts w:eastAsiaTheme="minorEastAsia"/>
      <w:lang w:eastAsia="pl-PL"/>
    </w:rPr>
  </w:style>
  <w:style w:type="character" w:styleId="Uwydatnienie">
    <w:name w:val="Emphasis"/>
    <w:basedOn w:val="Domylnaczcionkaakapitu"/>
    <w:uiPriority w:val="20"/>
    <w:qFormat/>
    <w:rsid w:val="00E72802"/>
    <w:rPr>
      <w:i/>
      <w:iCs/>
    </w:rPr>
  </w:style>
  <w:style w:type="paragraph" w:customStyle="1" w:styleId="Default">
    <w:name w:val="Default"/>
    <w:rsid w:val="00E72802"/>
    <w:pPr>
      <w:autoSpaceDE w:val="0"/>
      <w:autoSpaceDN w:val="0"/>
      <w:adjustRightInd w:val="0"/>
      <w:spacing w:after="0" w:line="240" w:lineRule="auto"/>
    </w:pPr>
    <w:rPr>
      <w:rFonts w:ascii="Calibri" w:hAnsi="Calibri" w:cs="Calibri"/>
      <w:color w:val="000000"/>
      <w:kern w:val="0"/>
      <w:sz w:val="24"/>
      <w:szCs w:val="24"/>
    </w:rPr>
  </w:style>
  <w:style w:type="table" w:styleId="Tabelalisty3akcent1">
    <w:name w:val="List Table 3 Accent 1"/>
    <w:basedOn w:val="Standardowy"/>
    <w:uiPriority w:val="48"/>
    <w:rsid w:val="00E72802"/>
    <w:pPr>
      <w:spacing w:after="0" w:line="240" w:lineRule="auto"/>
    </w:pPr>
    <w:rPr>
      <w:kern w:val="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siatki1jasnaakcent1">
    <w:name w:val="Grid Table 1 Light Accent 1"/>
    <w:basedOn w:val="Standardowy"/>
    <w:uiPriority w:val="46"/>
    <w:rsid w:val="00E72802"/>
    <w:pPr>
      <w:spacing w:after="0" w:line="240" w:lineRule="auto"/>
    </w:pPr>
    <w:rPr>
      <w:kern w:val="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E72802"/>
    <w:pPr>
      <w:spacing w:after="0" w:line="240" w:lineRule="auto"/>
    </w:pPr>
    <w:rPr>
      <w:kern w:val="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ierozpoznanawzmianka3">
    <w:name w:val="Nierozpoznana wzmianka3"/>
    <w:basedOn w:val="Domylnaczcionkaakapitu"/>
    <w:uiPriority w:val="99"/>
    <w:semiHidden/>
    <w:unhideWhenUsed/>
    <w:rsid w:val="00E72802"/>
    <w:rPr>
      <w:color w:val="605E5C"/>
      <w:shd w:val="clear" w:color="auto" w:fill="E1DFDD"/>
    </w:rPr>
  </w:style>
  <w:style w:type="character" w:customStyle="1" w:styleId="Nierozpoznanawzmianka4">
    <w:name w:val="Nierozpoznana wzmianka4"/>
    <w:basedOn w:val="Domylnaczcionkaakapitu"/>
    <w:uiPriority w:val="99"/>
    <w:semiHidden/>
    <w:unhideWhenUsed/>
    <w:rsid w:val="00E72802"/>
    <w:rPr>
      <w:color w:val="605E5C"/>
      <w:shd w:val="clear" w:color="auto" w:fill="E1DFDD"/>
    </w:rPr>
  </w:style>
  <w:style w:type="paragraph" w:customStyle="1" w:styleId="NCBRnormalnywcicie">
    <w:name w:val="NCBR_normalny_wcięcie"/>
    <w:basedOn w:val="NCBRnormalny"/>
    <w:qFormat/>
    <w:rsid w:val="00E72802"/>
    <w:pPr>
      <w:ind w:left="454" w:hanging="454"/>
      <w:jc w:val="left"/>
    </w:pPr>
  </w:style>
  <w:style w:type="character" w:customStyle="1" w:styleId="cf01">
    <w:name w:val="cf01"/>
    <w:basedOn w:val="Domylnaczcionkaakapitu"/>
    <w:rsid w:val="00EC43B1"/>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2B5584"/>
    <w:rPr>
      <w:color w:val="605E5C"/>
      <w:shd w:val="clear" w:color="auto" w:fill="E1DFDD"/>
    </w:rPr>
  </w:style>
  <w:style w:type="character" w:customStyle="1" w:styleId="cf11">
    <w:name w:val="cf11"/>
    <w:basedOn w:val="Domylnaczcionkaakapitu"/>
    <w:rsid w:val="001719A4"/>
    <w:rPr>
      <w:rFonts w:ascii="Segoe UI" w:hAnsi="Segoe UI" w:cs="Segoe UI" w:hint="default"/>
      <w:color w:val="040C28"/>
      <w:sz w:val="18"/>
      <w:szCs w:val="18"/>
    </w:rPr>
  </w:style>
  <w:style w:type="character" w:customStyle="1" w:styleId="cf21">
    <w:name w:val="cf21"/>
    <w:basedOn w:val="Domylnaczcionkaakapitu"/>
    <w:rsid w:val="001719A4"/>
    <w:rPr>
      <w:rFonts w:ascii="Segoe UI" w:hAnsi="Segoe UI" w:cs="Segoe UI" w:hint="default"/>
      <w:sz w:val="18"/>
      <w:szCs w:val="18"/>
    </w:rPr>
  </w:style>
  <w:style w:type="character" w:styleId="Pogrubienie">
    <w:name w:val="Strong"/>
    <w:basedOn w:val="Domylnaczcionkaakapitu"/>
    <w:uiPriority w:val="22"/>
    <w:qFormat/>
    <w:rsid w:val="00A953FA"/>
    <w:rPr>
      <w:b/>
      <w:bCs/>
    </w:rPr>
  </w:style>
  <w:style w:type="paragraph" w:customStyle="1" w:styleId="paragraph">
    <w:name w:val="paragraph"/>
    <w:basedOn w:val="Normalny"/>
    <w:rsid w:val="003252A1"/>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character" w:customStyle="1" w:styleId="normaltextrun">
    <w:name w:val="normaltextrun"/>
    <w:basedOn w:val="Domylnaczcionkaakapitu"/>
    <w:rsid w:val="003252A1"/>
  </w:style>
  <w:style w:type="character" w:customStyle="1" w:styleId="eop">
    <w:name w:val="eop"/>
    <w:basedOn w:val="Domylnaczcionkaakapitu"/>
    <w:rsid w:val="003252A1"/>
  </w:style>
  <w:style w:type="character" w:customStyle="1" w:styleId="footnote">
    <w:name w:val="footnote"/>
    <w:basedOn w:val="Domylnaczcionkaakapitu"/>
    <w:rsid w:val="004F4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32258">
      <w:bodyDiv w:val="1"/>
      <w:marLeft w:val="0"/>
      <w:marRight w:val="0"/>
      <w:marTop w:val="0"/>
      <w:marBottom w:val="0"/>
      <w:divBdr>
        <w:top w:val="none" w:sz="0" w:space="0" w:color="auto"/>
        <w:left w:val="none" w:sz="0" w:space="0" w:color="auto"/>
        <w:bottom w:val="none" w:sz="0" w:space="0" w:color="auto"/>
        <w:right w:val="none" w:sz="0" w:space="0" w:color="auto"/>
      </w:divBdr>
    </w:div>
    <w:div w:id="663821684">
      <w:bodyDiv w:val="1"/>
      <w:marLeft w:val="0"/>
      <w:marRight w:val="0"/>
      <w:marTop w:val="0"/>
      <w:marBottom w:val="0"/>
      <w:divBdr>
        <w:top w:val="none" w:sz="0" w:space="0" w:color="auto"/>
        <w:left w:val="none" w:sz="0" w:space="0" w:color="auto"/>
        <w:bottom w:val="none" w:sz="0" w:space="0" w:color="auto"/>
        <w:right w:val="none" w:sz="0" w:space="0" w:color="auto"/>
      </w:divBdr>
      <w:divsChild>
        <w:div w:id="2115708955">
          <w:marLeft w:val="0"/>
          <w:marRight w:val="0"/>
          <w:marTop w:val="0"/>
          <w:marBottom w:val="0"/>
          <w:divBdr>
            <w:top w:val="none" w:sz="0" w:space="0" w:color="auto"/>
            <w:left w:val="none" w:sz="0" w:space="0" w:color="auto"/>
            <w:bottom w:val="none" w:sz="0" w:space="0" w:color="auto"/>
            <w:right w:val="none" w:sz="0" w:space="0" w:color="auto"/>
          </w:divBdr>
        </w:div>
        <w:div w:id="454830313">
          <w:marLeft w:val="0"/>
          <w:marRight w:val="0"/>
          <w:marTop w:val="0"/>
          <w:marBottom w:val="0"/>
          <w:divBdr>
            <w:top w:val="none" w:sz="0" w:space="0" w:color="auto"/>
            <w:left w:val="none" w:sz="0" w:space="0" w:color="auto"/>
            <w:bottom w:val="none" w:sz="0" w:space="0" w:color="auto"/>
            <w:right w:val="none" w:sz="0" w:space="0" w:color="auto"/>
          </w:divBdr>
        </w:div>
        <w:div w:id="341974569">
          <w:marLeft w:val="0"/>
          <w:marRight w:val="0"/>
          <w:marTop w:val="0"/>
          <w:marBottom w:val="0"/>
          <w:divBdr>
            <w:top w:val="none" w:sz="0" w:space="0" w:color="auto"/>
            <w:left w:val="none" w:sz="0" w:space="0" w:color="auto"/>
            <w:bottom w:val="none" w:sz="0" w:space="0" w:color="auto"/>
            <w:right w:val="none" w:sz="0" w:space="0" w:color="auto"/>
          </w:divBdr>
        </w:div>
        <w:div w:id="161165286">
          <w:marLeft w:val="0"/>
          <w:marRight w:val="0"/>
          <w:marTop w:val="0"/>
          <w:marBottom w:val="0"/>
          <w:divBdr>
            <w:top w:val="none" w:sz="0" w:space="0" w:color="auto"/>
            <w:left w:val="none" w:sz="0" w:space="0" w:color="auto"/>
            <w:bottom w:val="none" w:sz="0" w:space="0" w:color="auto"/>
            <w:right w:val="none" w:sz="0" w:space="0" w:color="auto"/>
          </w:divBdr>
        </w:div>
        <w:div w:id="463501625">
          <w:marLeft w:val="0"/>
          <w:marRight w:val="0"/>
          <w:marTop w:val="0"/>
          <w:marBottom w:val="0"/>
          <w:divBdr>
            <w:top w:val="none" w:sz="0" w:space="0" w:color="auto"/>
            <w:left w:val="none" w:sz="0" w:space="0" w:color="auto"/>
            <w:bottom w:val="none" w:sz="0" w:space="0" w:color="auto"/>
            <w:right w:val="none" w:sz="0" w:space="0" w:color="auto"/>
          </w:divBdr>
        </w:div>
      </w:divsChild>
    </w:div>
    <w:div w:id="731468767">
      <w:bodyDiv w:val="1"/>
      <w:marLeft w:val="0"/>
      <w:marRight w:val="0"/>
      <w:marTop w:val="0"/>
      <w:marBottom w:val="0"/>
      <w:divBdr>
        <w:top w:val="none" w:sz="0" w:space="0" w:color="auto"/>
        <w:left w:val="none" w:sz="0" w:space="0" w:color="auto"/>
        <w:bottom w:val="none" w:sz="0" w:space="0" w:color="auto"/>
        <w:right w:val="none" w:sz="0" w:space="0" w:color="auto"/>
      </w:divBdr>
    </w:div>
    <w:div w:id="848494753">
      <w:bodyDiv w:val="1"/>
      <w:marLeft w:val="0"/>
      <w:marRight w:val="0"/>
      <w:marTop w:val="0"/>
      <w:marBottom w:val="0"/>
      <w:divBdr>
        <w:top w:val="none" w:sz="0" w:space="0" w:color="auto"/>
        <w:left w:val="none" w:sz="0" w:space="0" w:color="auto"/>
        <w:bottom w:val="none" w:sz="0" w:space="0" w:color="auto"/>
        <w:right w:val="none" w:sz="0" w:space="0" w:color="auto"/>
      </w:divBdr>
    </w:div>
    <w:div w:id="1090855286">
      <w:bodyDiv w:val="1"/>
      <w:marLeft w:val="0"/>
      <w:marRight w:val="0"/>
      <w:marTop w:val="0"/>
      <w:marBottom w:val="0"/>
      <w:divBdr>
        <w:top w:val="none" w:sz="0" w:space="0" w:color="auto"/>
        <w:left w:val="none" w:sz="0" w:space="0" w:color="auto"/>
        <w:bottom w:val="none" w:sz="0" w:space="0" w:color="auto"/>
        <w:right w:val="none" w:sz="0" w:space="0" w:color="auto"/>
      </w:divBdr>
      <w:divsChild>
        <w:div w:id="108553125">
          <w:marLeft w:val="0"/>
          <w:marRight w:val="0"/>
          <w:marTop w:val="0"/>
          <w:marBottom w:val="0"/>
          <w:divBdr>
            <w:top w:val="none" w:sz="0" w:space="0" w:color="auto"/>
            <w:left w:val="none" w:sz="0" w:space="0" w:color="auto"/>
            <w:bottom w:val="none" w:sz="0" w:space="0" w:color="auto"/>
            <w:right w:val="none" w:sz="0" w:space="0" w:color="auto"/>
          </w:divBdr>
        </w:div>
        <w:div w:id="1702584278">
          <w:marLeft w:val="0"/>
          <w:marRight w:val="0"/>
          <w:marTop w:val="0"/>
          <w:marBottom w:val="0"/>
          <w:divBdr>
            <w:top w:val="none" w:sz="0" w:space="0" w:color="auto"/>
            <w:left w:val="none" w:sz="0" w:space="0" w:color="auto"/>
            <w:bottom w:val="none" w:sz="0" w:space="0" w:color="auto"/>
            <w:right w:val="none" w:sz="0" w:space="0" w:color="auto"/>
          </w:divBdr>
        </w:div>
      </w:divsChild>
    </w:div>
    <w:div w:id="1180893527">
      <w:bodyDiv w:val="1"/>
      <w:marLeft w:val="0"/>
      <w:marRight w:val="0"/>
      <w:marTop w:val="0"/>
      <w:marBottom w:val="0"/>
      <w:divBdr>
        <w:top w:val="none" w:sz="0" w:space="0" w:color="auto"/>
        <w:left w:val="none" w:sz="0" w:space="0" w:color="auto"/>
        <w:bottom w:val="none" w:sz="0" w:space="0" w:color="auto"/>
        <w:right w:val="none" w:sz="0" w:space="0" w:color="auto"/>
      </w:divBdr>
    </w:div>
    <w:div w:id="1497723242">
      <w:bodyDiv w:val="1"/>
      <w:marLeft w:val="0"/>
      <w:marRight w:val="0"/>
      <w:marTop w:val="0"/>
      <w:marBottom w:val="0"/>
      <w:divBdr>
        <w:top w:val="none" w:sz="0" w:space="0" w:color="auto"/>
        <w:left w:val="none" w:sz="0" w:space="0" w:color="auto"/>
        <w:bottom w:val="none" w:sz="0" w:space="0" w:color="auto"/>
        <w:right w:val="none" w:sz="0" w:space="0" w:color="auto"/>
      </w:divBdr>
      <w:divsChild>
        <w:div w:id="1587689035">
          <w:marLeft w:val="0"/>
          <w:marRight w:val="0"/>
          <w:marTop w:val="0"/>
          <w:marBottom w:val="0"/>
          <w:divBdr>
            <w:top w:val="none" w:sz="0" w:space="0" w:color="auto"/>
            <w:left w:val="none" w:sz="0" w:space="0" w:color="auto"/>
            <w:bottom w:val="none" w:sz="0" w:space="0" w:color="auto"/>
            <w:right w:val="none" w:sz="0" w:space="0" w:color="auto"/>
          </w:divBdr>
          <w:divsChild>
            <w:div w:id="827282482">
              <w:marLeft w:val="0"/>
              <w:marRight w:val="0"/>
              <w:marTop w:val="0"/>
              <w:marBottom w:val="0"/>
              <w:divBdr>
                <w:top w:val="none" w:sz="0" w:space="0" w:color="auto"/>
                <w:left w:val="none" w:sz="0" w:space="0" w:color="auto"/>
                <w:bottom w:val="none" w:sz="0" w:space="0" w:color="auto"/>
                <w:right w:val="none" w:sz="0" w:space="0" w:color="auto"/>
              </w:divBdr>
              <w:divsChild>
                <w:div w:id="145631012">
                  <w:marLeft w:val="0"/>
                  <w:marRight w:val="0"/>
                  <w:marTop w:val="0"/>
                  <w:marBottom w:val="0"/>
                  <w:divBdr>
                    <w:top w:val="none" w:sz="0" w:space="0" w:color="auto"/>
                    <w:left w:val="none" w:sz="0" w:space="0" w:color="auto"/>
                    <w:bottom w:val="none" w:sz="0" w:space="0" w:color="auto"/>
                    <w:right w:val="none" w:sz="0" w:space="0" w:color="auto"/>
                  </w:divBdr>
                </w:div>
              </w:divsChild>
            </w:div>
            <w:div w:id="2017221030">
              <w:marLeft w:val="0"/>
              <w:marRight w:val="0"/>
              <w:marTop w:val="0"/>
              <w:marBottom w:val="0"/>
              <w:divBdr>
                <w:top w:val="none" w:sz="0" w:space="0" w:color="auto"/>
                <w:left w:val="none" w:sz="0" w:space="0" w:color="auto"/>
                <w:bottom w:val="none" w:sz="0" w:space="0" w:color="auto"/>
                <w:right w:val="none" w:sz="0" w:space="0" w:color="auto"/>
              </w:divBdr>
              <w:divsChild>
                <w:div w:id="489103052">
                  <w:marLeft w:val="0"/>
                  <w:marRight w:val="0"/>
                  <w:marTop w:val="0"/>
                  <w:marBottom w:val="0"/>
                  <w:divBdr>
                    <w:top w:val="none" w:sz="0" w:space="0" w:color="auto"/>
                    <w:left w:val="none" w:sz="0" w:space="0" w:color="auto"/>
                    <w:bottom w:val="none" w:sz="0" w:space="0" w:color="auto"/>
                    <w:right w:val="none" w:sz="0" w:space="0" w:color="auto"/>
                  </w:divBdr>
                </w:div>
              </w:divsChild>
            </w:div>
            <w:div w:id="1929272293">
              <w:marLeft w:val="0"/>
              <w:marRight w:val="0"/>
              <w:marTop w:val="0"/>
              <w:marBottom w:val="0"/>
              <w:divBdr>
                <w:top w:val="none" w:sz="0" w:space="0" w:color="auto"/>
                <w:left w:val="none" w:sz="0" w:space="0" w:color="auto"/>
                <w:bottom w:val="none" w:sz="0" w:space="0" w:color="auto"/>
                <w:right w:val="none" w:sz="0" w:space="0" w:color="auto"/>
              </w:divBdr>
              <w:divsChild>
                <w:div w:id="1629895967">
                  <w:marLeft w:val="0"/>
                  <w:marRight w:val="0"/>
                  <w:marTop w:val="0"/>
                  <w:marBottom w:val="0"/>
                  <w:divBdr>
                    <w:top w:val="none" w:sz="0" w:space="0" w:color="auto"/>
                    <w:left w:val="none" w:sz="0" w:space="0" w:color="auto"/>
                    <w:bottom w:val="none" w:sz="0" w:space="0" w:color="auto"/>
                    <w:right w:val="none" w:sz="0" w:space="0" w:color="auto"/>
                  </w:divBdr>
                </w:div>
              </w:divsChild>
            </w:div>
            <w:div w:id="617107057">
              <w:marLeft w:val="0"/>
              <w:marRight w:val="0"/>
              <w:marTop w:val="0"/>
              <w:marBottom w:val="0"/>
              <w:divBdr>
                <w:top w:val="none" w:sz="0" w:space="0" w:color="auto"/>
                <w:left w:val="none" w:sz="0" w:space="0" w:color="auto"/>
                <w:bottom w:val="none" w:sz="0" w:space="0" w:color="auto"/>
                <w:right w:val="none" w:sz="0" w:space="0" w:color="auto"/>
              </w:divBdr>
              <w:divsChild>
                <w:div w:id="305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948">
          <w:marLeft w:val="0"/>
          <w:marRight w:val="0"/>
          <w:marTop w:val="0"/>
          <w:marBottom w:val="0"/>
          <w:divBdr>
            <w:top w:val="none" w:sz="0" w:space="0" w:color="auto"/>
            <w:left w:val="none" w:sz="0" w:space="0" w:color="auto"/>
            <w:bottom w:val="none" w:sz="0" w:space="0" w:color="auto"/>
            <w:right w:val="none" w:sz="0" w:space="0" w:color="auto"/>
          </w:divBdr>
          <w:divsChild>
            <w:div w:id="1743259474">
              <w:marLeft w:val="0"/>
              <w:marRight w:val="0"/>
              <w:marTop w:val="0"/>
              <w:marBottom w:val="0"/>
              <w:divBdr>
                <w:top w:val="none" w:sz="0" w:space="0" w:color="auto"/>
                <w:left w:val="none" w:sz="0" w:space="0" w:color="auto"/>
                <w:bottom w:val="none" w:sz="0" w:space="0" w:color="auto"/>
                <w:right w:val="none" w:sz="0" w:space="0" w:color="auto"/>
              </w:divBdr>
            </w:div>
          </w:divsChild>
        </w:div>
        <w:div w:id="1916697357">
          <w:marLeft w:val="0"/>
          <w:marRight w:val="0"/>
          <w:marTop w:val="0"/>
          <w:marBottom w:val="0"/>
          <w:divBdr>
            <w:top w:val="none" w:sz="0" w:space="0" w:color="auto"/>
            <w:left w:val="none" w:sz="0" w:space="0" w:color="auto"/>
            <w:bottom w:val="none" w:sz="0" w:space="0" w:color="auto"/>
            <w:right w:val="none" w:sz="0" w:space="0" w:color="auto"/>
          </w:divBdr>
          <w:divsChild>
            <w:div w:id="1274092625">
              <w:marLeft w:val="0"/>
              <w:marRight w:val="0"/>
              <w:marTop w:val="0"/>
              <w:marBottom w:val="0"/>
              <w:divBdr>
                <w:top w:val="none" w:sz="0" w:space="0" w:color="auto"/>
                <w:left w:val="none" w:sz="0" w:space="0" w:color="auto"/>
                <w:bottom w:val="none" w:sz="0" w:space="0" w:color="auto"/>
                <w:right w:val="none" w:sz="0" w:space="0" w:color="auto"/>
              </w:divBdr>
            </w:div>
          </w:divsChild>
        </w:div>
        <w:div w:id="853886232">
          <w:marLeft w:val="0"/>
          <w:marRight w:val="0"/>
          <w:marTop w:val="0"/>
          <w:marBottom w:val="0"/>
          <w:divBdr>
            <w:top w:val="none" w:sz="0" w:space="0" w:color="auto"/>
            <w:left w:val="none" w:sz="0" w:space="0" w:color="auto"/>
            <w:bottom w:val="none" w:sz="0" w:space="0" w:color="auto"/>
            <w:right w:val="none" w:sz="0" w:space="0" w:color="auto"/>
          </w:divBdr>
          <w:divsChild>
            <w:div w:id="13433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841">
      <w:bodyDiv w:val="1"/>
      <w:marLeft w:val="0"/>
      <w:marRight w:val="0"/>
      <w:marTop w:val="0"/>
      <w:marBottom w:val="0"/>
      <w:divBdr>
        <w:top w:val="none" w:sz="0" w:space="0" w:color="auto"/>
        <w:left w:val="none" w:sz="0" w:space="0" w:color="auto"/>
        <w:bottom w:val="none" w:sz="0" w:space="0" w:color="auto"/>
        <w:right w:val="none" w:sz="0" w:space="0" w:color="auto"/>
      </w:divBdr>
    </w:div>
    <w:div w:id="1578857341">
      <w:bodyDiv w:val="1"/>
      <w:marLeft w:val="0"/>
      <w:marRight w:val="0"/>
      <w:marTop w:val="0"/>
      <w:marBottom w:val="0"/>
      <w:divBdr>
        <w:top w:val="none" w:sz="0" w:space="0" w:color="auto"/>
        <w:left w:val="none" w:sz="0" w:space="0" w:color="auto"/>
        <w:bottom w:val="none" w:sz="0" w:space="0" w:color="auto"/>
        <w:right w:val="none" w:sz="0" w:space="0" w:color="auto"/>
      </w:divBdr>
    </w:div>
    <w:div w:id="1788423793">
      <w:bodyDiv w:val="1"/>
      <w:marLeft w:val="0"/>
      <w:marRight w:val="0"/>
      <w:marTop w:val="0"/>
      <w:marBottom w:val="0"/>
      <w:divBdr>
        <w:top w:val="none" w:sz="0" w:space="0" w:color="auto"/>
        <w:left w:val="none" w:sz="0" w:space="0" w:color="auto"/>
        <w:bottom w:val="none" w:sz="0" w:space="0" w:color="auto"/>
        <w:right w:val="none" w:sz="0" w:space="0" w:color="auto"/>
      </w:divBdr>
    </w:div>
    <w:div w:id="1789737843">
      <w:bodyDiv w:val="1"/>
      <w:marLeft w:val="0"/>
      <w:marRight w:val="0"/>
      <w:marTop w:val="0"/>
      <w:marBottom w:val="0"/>
      <w:divBdr>
        <w:top w:val="none" w:sz="0" w:space="0" w:color="auto"/>
        <w:left w:val="none" w:sz="0" w:space="0" w:color="auto"/>
        <w:bottom w:val="none" w:sz="0" w:space="0" w:color="auto"/>
        <w:right w:val="none" w:sz="0" w:space="0" w:color="auto"/>
      </w:divBdr>
      <w:divsChild>
        <w:div w:id="404112248">
          <w:marLeft w:val="300"/>
          <w:marRight w:val="0"/>
          <w:marTop w:val="0"/>
          <w:marBottom w:val="0"/>
          <w:divBdr>
            <w:top w:val="none" w:sz="0" w:space="0" w:color="auto"/>
            <w:left w:val="none" w:sz="0" w:space="0" w:color="auto"/>
            <w:bottom w:val="none" w:sz="0" w:space="0" w:color="auto"/>
            <w:right w:val="none" w:sz="0" w:space="0" w:color="auto"/>
          </w:divBdr>
        </w:div>
        <w:div w:id="1717467657">
          <w:marLeft w:val="300"/>
          <w:marRight w:val="0"/>
          <w:marTop w:val="0"/>
          <w:marBottom w:val="0"/>
          <w:divBdr>
            <w:top w:val="none" w:sz="0" w:space="0" w:color="auto"/>
            <w:left w:val="none" w:sz="0" w:space="0" w:color="auto"/>
            <w:bottom w:val="none" w:sz="0" w:space="0" w:color="auto"/>
            <w:right w:val="none" w:sz="0" w:space="0" w:color="auto"/>
          </w:divBdr>
        </w:div>
        <w:div w:id="1578780456">
          <w:marLeft w:val="300"/>
          <w:marRight w:val="0"/>
          <w:marTop w:val="0"/>
          <w:marBottom w:val="0"/>
          <w:divBdr>
            <w:top w:val="none" w:sz="0" w:space="0" w:color="auto"/>
            <w:left w:val="none" w:sz="0" w:space="0" w:color="auto"/>
            <w:bottom w:val="none" w:sz="0" w:space="0" w:color="auto"/>
            <w:right w:val="none" w:sz="0" w:space="0" w:color="auto"/>
          </w:divBdr>
        </w:div>
      </w:divsChild>
    </w:div>
    <w:div w:id="2115320191">
      <w:bodyDiv w:val="1"/>
      <w:marLeft w:val="0"/>
      <w:marRight w:val="0"/>
      <w:marTop w:val="0"/>
      <w:marBottom w:val="0"/>
      <w:divBdr>
        <w:top w:val="none" w:sz="0" w:space="0" w:color="auto"/>
        <w:left w:val="none" w:sz="0" w:space="0" w:color="auto"/>
        <w:bottom w:val="none" w:sz="0" w:space="0" w:color="auto"/>
        <w:right w:val="none" w:sz="0" w:space="0" w:color="auto"/>
      </w:divBdr>
      <w:divsChild>
        <w:div w:id="1321009308">
          <w:marLeft w:val="0"/>
          <w:marRight w:val="0"/>
          <w:marTop w:val="0"/>
          <w:marBottom w:val="0"/>
          <w:divBdr>
            <w:top w:val="none" w:sz="0" w:space="0" w:color="auto"/>
            <w:left w:val="none" w:sz="0" w:space="0" w:color="auto"/>
            <w:bottom w:val="none" w:sz="0" w:space="0" w:color="auto"/>
            <w:right w:val="none" w:sz="0" w:space="0" w:color="auto"/>
          </w:divBdr>
        </w:div>
        <w:div w:id="2003894302">
          <w:marLeft w:val="0"/>
          <w:marRight w:val="0"/>
          <w:marTop w:val="0"/>
          <w:marBottom w:val="0"/>
          <w:divBdr>
            <w:top w:val="none" w:sz="0" w:space="0" w:color="auto"/>
            <w:left w:val="none" w:sz="0" w:space="0" w:color="auto"/>
            <w:bottom w:val="none" w:sz="0" w:space="0" w:color="auto"/>
            <w:right w:val="none" w:sz="0" w:space="0" w:color="auto"/>
          </w:divBdr>
        </w:div>
      </w:divsChild>
    </w:div>
    <w:div w:id="212619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pl/attachment/d4009314-f558-46ce-9619-9d047cf92e0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full.seam?documentId=mfrxilrsha2tonbuha4diltwmvzc4mjzguzts&amp;refSource=search" TargetMode="External"/><Relationship Id="rId1" Type="http://schemas.openxmlformats.org/officeDocument/2006/relationships/hyperlink" Target="https://sip.legalis.pl/document-full.seam?documentId=mfrxilrsha2tonbuha4diltwmvzc4mjzguzts&amp;refSource=sear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E707B12FF95F44882DAFA1298B878D" ma:contentTypeVersion="4" ma:contentTypeDescription="Utwórz nowy dokument." ma:contentTypeScope="" ma:versionID="6c9574b5c3e367f35a58022eed24f377">
  <xsd:schema xmlns:xsd="http://www.w3.org/2001/XMLSchema" xmlns:xs="http://www.w3.org/2001/XMLSchema" xmlns:p="http://schemas.microsoft.com/office/2006/metadata/properties" xmlns:ns2="c462e647-4bfd-4e77-9bcb-77465bae2970" targetNamespace="http://schemas.microsoft.com/office/2006/metadata/properties" ma:root="true" ma:fieldsID="985ff0cff7440ed6a7e1cfeebd51c86a" ns2:_="">
    <xsd:import namespace="c462e647-4bfd-4e77-9bcb-77465bae29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2e647-4bfd-4e77-9bcb-77465bae2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48A9-E601-42EB-9254-8DBF9DE94AF7}">
  <ds:schemaRefs>
    <ds:schemaRef ds:uri="http://schemas.microsoft.com/sharepoint/v3/contenttype/forms"/>
  </ds:schemaRefs>
</ds:datastoreItem>
</file>

<file path=customXml/itemProps2.xml><?xml version="1.0" encoding="utf-8"?>
<ds:datastoreItem xmlns:ds="http://schemas.openxmlformats.org/officeDocument/2006/customXml" ds:itemID="{D30E3184-A4B1-4942-856E-C5B04C095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92BBD-C413-40D8-854A-4D5424A5D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2e647-4bfd-4e77-9bcb-77465bae2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F0561-71BD-495B-A3C7-6B809187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7597</Words>
  <Characters>45585</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Przewodnik kwalifikowalności</vt:lpstr>
    </vt:vector>
  </TitlesOfParts>
  <Company>PARP</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Przewodnik kwalifikowalności</dc:title>
  <dc:subject>Kwalifikowalność wydatków</dc:subject>
  <dc:creator>Wiśniewska Aneta</dc:creator>
  <cp:keywords/>
  <dc:description/>
  <cp:lastModifiedBy>Papiński Piotr</cp:lastModifiedBy>
  <cp:revision>183</cp:revision>
  <cp:lastPrinted>2024-04-03T10:40:00Z</cp:lastPrinted>
  <dcterms:created xsi:type="dcterms:W3CDTF">2024-01-30T13:52:00Z</dcterms:created>
  <dcterms:modified xsi:type="dcterms:W3CDTF">2024-06-17T15:06:00Z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0x0101004BE707B12FF95F44882DAFA1298B878D</vt:lpwstr>
  </property>
</Properties>
</file>